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78FE" w14:textId="77777777" w:rsidR="00572209" w:rsidRDefault="00572209" w:rsidP="00A82EDD">
      <w:pPr>
        <w:pStyle w:val="a3"/>
        <w:ind w:firstLine="567"/>
        <w:jc w:val="both"/>
        <w:rPr>
          <w:szCs w:val="28"/>
        </w:rPr>
      </w:pPr>
      <w:bookmarkStart w:id="0" w:name="_Toc71640851"/>
    </w:p>
    <w:p w14:paraId="389E735D" w14:textId="7EF4FE94" w:rsidR="00A82EDD" w:rsidRDefault="00A82EDD" w:rsidP="00A82EDD">
      <w:pPr>
        <w:pStyle w:val="a3"/>
        <w:ind w:firstLine="567"/>
        <w:jc w:val="both"/>
        <w:rPr>
          <w:rFonts w:eastAsia="Calibri"/>
          <w:bCs/>
          <w:szCs w:val="28"/>
          <w:lang w:eastAsia="en-US"/>
        </w:rPr>
      </w:pPr>
      <w:r w:rsidRPr="009C095C">
        <w:rPr>
          <w:szCs w:val="28"/>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2023 год (с оценкой воздействия на окружающую среду). Часть 5»</w:t>
      </w:r>
    </w:p>
    <w:p w14:paraId="3F2D1083" w14:textId="77777777" w:rsidR="00572209" w:rsidRDefault="00572209" w:rsidP="00A82EDD">
      <w:pPr>
        <w:pStyle w:val="a3"/>
        <w:spacing w:before="0" w:beforeAutospacing="0" w:after="0" w:afterAutospacing="0"/>
        <w:ind w:firstLine="567"/>
        <w:jc w:val="left"/>
        <w:rPr>
          <w:rFonts w:eastAsia="Calibri"/>
          <w:bCs/>
          <w:szCs w:val="28"/>
          <w:lang w:eastAsia="en-US"/>
        </w:rPr>
      </w:pPr>
    </w:p>
    <w:p w14:paraId="08EA2FCA" w14:textId="348DCE38" w:rsidR="00C9371A" w:rsidRPr="00CB7AFF" w:rsidRDefault="00C9371A" w:rsidP="00A82EDD">
      <w:pPr>
        <w:pStyle w:val="a3"/>
        <w:spacing w:before="0" w:beforeAutospacing="0" w:after="0" w:afterAutospacing="0"/>
        <w:ind w:firstLine="567"/>
        <w:jc w:val="left"/>
        <w:rPr>
          <w:rFonts w:eastAsia="Calibri"/>
          <w:lang w:eastAsia="en-US"/>
        </w:rPr>
      </w:pPr>
      <w:r w:rsidRPr="00CB7AFF">
        <w:rPr>
          <w:rFonts w:eastAsia="Calibri"/>
          <w:bCs/>
          <w:szCs w:val="28"/>
          <w:lang w:eastAsia="en-US"/>
        </w:rPr>
        <w:t xml:space="preserve">Горбуша </w:t>
      </w:r>
      <w:r w:rsidRPr="00CB7AFF">
        <w:rPr>
          <w:rFonts w:eastAsia="Calibri"/>
          <w:bCs/>
          <w:i/>
          <w:szCs w:val="28"/>
          <w:lang w:eastAsia="en-US"/>
        </w:rPr>
        <w:t>(</w:t>
      </w:r>
      <w:r w:rsidRPr="00CB7AFF">
        <w:rPr>
          <w:rFonts w:eastAsia="Calibri"/>
          <w:i/>
          <w:lang w:val="en-US" w:eastAsia="en-US"/>
        </w:rPr>
        <w:t>Oncorhynchus</w:t>
      </w:r>
      <w:r w:rsidRPr="00CB7AFF">
        <w:rPr>
          <w:rFonts w:eastAsia="Calibri"/>
          <w:i/>
          <w:lang w:eastAsia="en-US"/>
        </w:rPr>
        <w:t xml:space="preserve"> </w:t>
      </w:r>
      <w:proofErr w:type="spellStart"/>
      <w:r w:rsidRPr="00CB7AFF">
        <w:rPr>
          <w:rFonts w:eastAsia="Calibri"/>
          <w:i/>
          <w:lang w:val="en-US" w:eastAsia="en-US"/>
        </w:rPr>
        <w:t>gorbuscha</w:t>
      </w:r>
      <w:proofErr w:type="spellEnd"/>
      <w:r w:rsidRPr="00CB7AFF">
        <w:rPr>
          <w:rFonts w:eastAsia="Calibri"/>
          <w:bCs/>
          <w:i/>
          <w:szCs w:val="28"/>
          <w:lang w:eastAsia="en-US"/>
        </w:rPr>
        <w:t>)</w:t>
      </w:r>
      <w:bookmarkEnd w:id="0"/>
    </w:p>
    <w:p w14:paraId="1B381886" w14:textId="77777777" w:rsidR="00C9371A" w:rsidRPr="00CB7AFF" w:rsidRDefault="00C9371A" w:rsidP="00A82EDD">
      <w:pPr>
        <w:pStyle w:val="a3"/>
        <w:spacing w:before="0" w:beforeAutospacing="0" w:after="0" w:afterAutospacing="0"/>
        <w:ind w:firstLine="567"/>
        <w:jc w:val="left"/>
        <w:rPr>
          <w:rFonts w:eastAsia="Calibri"/>
          <w:caps/>
          <w:lang w:eastAsia="en-US"/>
        </w:rPr>
      </w:pPr>
      <w:bookmarkStart w:id="1" w:name="_Toc71640852"/>
      <w:r w:rsidRPr="00CB7AFF">
        <w:rPr>
          <w:rFonts w:eastAsia="Calibri"/>
          <w:caps/>
          <w:lang w:eastAsia="en-US"/>
        </w:rPr>
        <w:t>К</w:t>
      </w:r>
      <w:r w:rsidRPr="00CB7AFF">
        <w:rPr>
          <w:rFonts w:eastAsia="Calibri"/>
          <w:lang w:eastAsia="en-US"/>
        </w:rPr>
        <w:t>ета</w:t>
      </w:r>
      <w:r w:rsidRPr="00CB7AFF">
        <w:rPr>
          <w:rFonts w:eastAsia="Calibri"/>
          <w:caps/>
          <w:lang w:eastAsia="en-US"/>
        </w:rPr>
        <w:t xml:space="preserve"> </w:t>
      </w:r>
      <w:r w:rsidRPr="00CB7AFF">
        <w:rPr>
          <w:rFonts w:eastAsia="Calibri"/>
          <w:i/>
          <w:caps/>
          <w:lang w:eastAsia="en-US"/>
        </w:rPr>
        <w:t>(</w:t>
      </w:r>
      <w:r w:rsidRPr="00CB7AFF">
        <w:rPr>
          <w:rFonts w:eastAsia="Calibri"/>
          <w:i/>
          <w:szCs w:val="28"/>
          <w:lang w:val="en-US" w:eastAsia="en-US"/>
        </w:rPr>
        <w:t>Oncorhynchus</w:t>
      </w:r>
      <w:r w:rsidRPr="00CB7AFF">
        <w:rPr>
          <w:rFonts w:eastAsia="Calibri"/>
          <w:i/>
          <w:szCs w:val="28"/>
          <w:lang w:eastAsia="en-US"/>
        </w:rPr>
        <w:t xml:space="preserve"> </w:t>
      </w:r>
      <w:r w:rsidRPr="00CB7AFF">
        <w:rPr>
          <w:rFonts w:eastAsia="Calibri"/>
          <w:i/>
          <w:szCs w:val="28"/>
          <w:lang w:val="en-US" w:eastAsia="en-US"/>
        </w:rPr>
        <w:t>keta</w:t>
      </w:r>
      <w:r w:rsidRPr="00CB7AFF">
        <w:rPr>
          <w:rFonts w:eastAsia="Calibri"/>
          <w:i/>
          <w:caps/>
          <w:lang w:eastAsia="en-US"/>
        </w:rPr>
        <w:t>)</w:t>
      </w:r>
      <w:bookmarkEnd w:id="1"/>
    </w:p>
    <w:p w14:paraId="521192BD" w14:textId="77777777" w:rsidR="00C9371A" w:rsidRPr="00CB7AFF" w:rsidRDefault="00C9371A" w:rsidP="00A82EDD">
      <w:pPr>
        <w:pStyle w:val="a3"/>
        <w:spacing w:before="0" w:beforeAutospacing="0" w:after="0" w:afterAutospacing="0"/>
        <w:ind w:firstLine="567"/>
        <w:jc w:val="left"/>
        <w:rPr>
          <w:rFonts w:eastAsia="Calibri"/>
          <w:lang w:eastAsia="en-US"/>
        </w:rPr>
      </w:pPr>
      <w:bookmarkStart w:id="2" w:name="_Toc71640853"/>
      <w:r w:rsidRPr="00CB7AFF">
        <w:rPr>
          <w:rFonts w:eastAsia="Calibri"/>
          <w:lang w:eastAsia="en-US"/>
        </w:rPr>
        <w:t xml:space="preserve">Нерка </w:t>
      </w:r>
      <w:r w:rsidRPr="00CB7AFF">
        <w:rPr>
          <w:rFonts w:eastAsia="Calibri"/>
          <w:i/>
          <w:lang w:eastAsia="en-US"/>
        </w:rPr>
        <w:t>(</w:t>
      </w:r>
      <w:r w:rsidRPr="00CB7AFF">
        <w:rPr>
          <w:rFonts w:eastAsia="Calibri"/>
          <w:i/>
          <w:lang w:val="en-US" w:eastAsia="en-US"/>
        </w:rPr>
        <w:t>Oncorhynchus</w:t>
      </w:r>
      <w:r w:rsidRPr="00CB7AFF">
        <w:rPr>
          <w:rFonts w:eastAsia="Calibri"/>
          <w:i/>
          <w:lang w:eastAsia="en-US"/>
        </w:rPr>
        <w:t xml:space="preserve"> </w:t>
      </w:r>
      <w:r w:rsidRPr="00CB7AFF">
        <w:rPr>
          <w:rFonts w:eastAsia="Calibri"/>
          <w:i/>
          <w:lang w:val="en-US" w:eastAsia="en-US"/>
        </w:rPr>
        <w:t>nerka</w:t>
      </w:r>
      <w:r w:rsidRPr="00CB7AFF">
        <w:rPr>
          <w:rFonts w:eastAsia="Calibri"/>
          <w:i/>
          <w:lang w:eastAsia="en-US"/>
        </w:rPr>
        <w:t>)</w:t>
      </w:r>
      <w:bookmarkEnd w:id="2"/>
    </w:p>
    <w:p w14:paraId="07373022" w14:textId="77777777" w:rsidR="00C9371A" w:rsidRPr="00CB7AFF" w:rsidRDefault="00C9371A" w:rsidP="00A82EDD">
      <w:pPr>
        <w:pStyle w:val="a3"/>
        <w:spacing w:before="0" w:beforeAutospacing="0" w:after="0" w:afterAutospacing="0"/>
        <w:ind w:firstLine="567"/>
        <w:jc w:val="left"/>
        <w:rPr>
          <w:rFonts w:eastAsia="Calibri"/>
          <w:szCs w:val="28"/>
          <w:lang w:eastAsia="en-US"/>
        </w:rPr>
      </w:pPr>
      <w:bookmarkStart w:id="3" w:name="_Toc71640854"/>
      <w:r w:rsidRPr="00CB7AFF">
        <w:rPr>
          <w:rFonts w:eastAsia="Calibri"/>
          <w:szCs w:val="28"/>
          <w:lang w:eastAsia="en-US"/>
        </w:rPr>
        <w:t xml:space="preserve">Кижуч </w:t>
      </w:r>
      <w:r w:rsidRPr="00CB7AFF">
        <w:rPr>
          <w:rFonts w:eastAsia="Calibri"/>
          <w:i/>
          <w:szCs w:val="28"/>
          <w:lang w:eastAsia="en-US"/>
        </w:rPr>
        <w:t>(</w:t>
      </w:r>
      <w:r w:rsidRPr="00CB7AFF">
        <w:rPr>
          <w:rFonts w:eastAsia="Calibri"/>
          <w:i/>
          <w:szCs w:val="28"/>
          <w:lang w:val="en-US" w:eastAsia="en-US"/>
        </w:rPr>
        <w:t>Oncorhynchus</w:t>
      </w:r>
      <w:r w:rsidRPr="00CB7AFF">
        <w:rPr>
          <w:rFonts w:eastAsia="Calibri"/>
          <w:i/>
          <w:szCs w:val="28"/>
          <w:lang w:eastAsia="en-US"/>
        </w:rPr>
        <w:t xml:space="preserve"> </w:t>
      </w:r>
      <w:r w:rsidRPr="00CB7AFF">
        <w:rPr>
          <w:rFonts w:eastAsia="Calibri"/>
          <w:i/>
          <w:szCs w:val="28"/>
          <w:lang w:val="en-US" w:eastAsia="en-US"/>
        </w:rPr>
        <w:t>kisutch</w:t>
      </w:r>
      <w:r w:rsidRPr="00CB7AFF">
        <w:rPr>
          <w:rFonts w:eastAsia="Calibri"/>
          <w:i/>
          <w:szCs w:val="28"/>
          <w:lang w:eastAsia="en-US"/>
        </w:rPr>
        <w:t>)</w:t>
      </w:r>
      <w:bookmarkEnd w:id="3"/>
    </w:p>
    <w:p w14:paraId="6B3E492A" w14:textId="77777777" w:rsidR="00C9371A" w:rsidRPr="00CB7AFF" w:rsidRDefault="00C9371A" w:rsidP="00A82EDD">
      <w:pPr>
        <w:pStyle w:val="a3"/>
        <w:spacing w:before="0" w:beforeAutospacing="0" w:after="0" w:afterAutospacing="0"/>
        <w:ind w:firstLine="567"/>
        <w:jc w:val="left"/>
        <w:rPr>
          <w:rFonts w:eastAsia="Calibri"/>
          <w:szCs w:val="28"/>
          <w:lang w:eastAsia="en-US"/>
        </w:rPr>
      </w:pPr>
      <w:bookmarkStart w:id="4" w:name="_Toc71640855"/>
      <w:r w:rsidRPr="00CB7AFF">
        <w:rPr>
          <w:rFonts w:eastAsia="Calibri"/>
          <w:szCs w:val="28"/>
          <w:lang w:eastAsia="en-US"/>
        </w:rPr>
        <w:t xml:space="preserve">Чавыча </w:t>
      </w:r>
      <w:r w:rsidRPr="00CB7AFF">
        <w:rPr>
          <w:rFonts w:eastAsia="Calibri"/>
          <w:i/>
          <w:szCs w:val="28"/>
          <w:lang w:eastAsia="en-US"/>
        </w:rPr>
        <w:t>(</w:t>
      </w:r>
      <w:r w:rsidRPr="00CB7AFF">
        <w:rPr>
          <w:rFonts w:eastAsia="Calibri"/>
          <w:i/>
          <w:szCs w:val="28"/>
          <w:lang w:val="en-US" w:eastAsia="en-US"/>
        </w:rPr>
        <w:t>Oncorhynchus</w:t>
      </w:r>
      <w:r w:rsidRPr="00CB7AFF">
        <w:rPr>
          <w:rFonts w:eastAsia="Calibri"/>
          <w:i/>
          <w:szCs w:val="28"/>
          <w:lang w:eastAsia="en-US"/>
        </w:rPr>
        <w:t xml:space="preserve"> </w:t>
      </w:r>
      <w:proofErr w:type="spellStart"/>
      <w:r w:rsidRPr="00CB7AFF">
        <w:rPr>
          <w:rFonts w:eastAsia="Calibri"/>
          <w:i/>
          <w:szCs w:val="28"/>
          <w:lang w:val="en-US" w:eastAsia="en-US"/>
        </w:rPr>
        <w:t>tschawytscha</w:t>
      </w:r>
      <w:proofErr w:type="spellEnd"/>
      <w:r w:rsidRPr="00CB7AFF">
        <w:rPr>
          <w:rFonts w:eastAsia="Calibri"/>
          <w:i/>
          <w:szCs w:val="28"/>
          <w:lang w:eastAsia="en-US"/>
        </w:rPr>
        <w:t>)</w:t>
      </w:r>
      <w:bookmarkEnd w:id="4"/>
    </w:p>
    <w:p w14:paraId="16B6D423" w14:textId="77777777" w:rsidR="00572209" w:rsidRDefault="00572209" w:rsidP="00A82EDD">
      <w:pPr>
        <w:pStyle w:val="6"/>
        <w:spacing w:before="0" w:beforeAutospacing="0" w:after="0" w:afterAutospacing="0"/>
        <w:rPr>
          <w:rFonts w:eastAsia="Calibri"/>
          <w:lang w:eastAsia="en-US"/>
        </w:rPr>
      </w:pPr>
      <w:bookmarkStart w:id="5" w:name="_Toc71640856"/>
    </w:p>
    <w:p w14:paraId="4F89AEAB" w14:textId="3EDF4715" w:rsidR="00C9371A" w:rsidRPr="00CB7AFF" w:rsidRDefault="00C9371A" w:rsidP="00A82EDD">
      <w:pPr>
        <w:pStyle w:val="6"/>
        <w:spacing w:before="0" w:beforeAutospacing="0" w:after="0" w:afterAutospacing="0"/>
        <w:rPr>
          <w:rFonts w:eastAsia="Calibri"/>
          <w:lang w:eastAsia="en-US"/>
        </w:rPr>
      </w:pPr>
      <w:r w:rsidRPr="00CB7AFF">
        <w:rPr>
          <w:rFonts w:eastAsia="Calibri"/>
          <w:lang w:eastAsia="en-US"/>
        </w:rPr>
        <w:t>61.01 – Зона Западно-Беринговоморская</w:t>
      </w:r>
      <w:bookmarkEnd w:id="5"/>
    </w:p>
    <w:p w14:paraId="6FFEAADD" w14:textId="77777777" w:rsidR="00C9371A" w:rsidRPr="00CB7AFF" w:rsidRDefault="00C9371A" w:rsidP="00A82EDD">
      <w:pPr>
        <w:pStyle w:val="6"/>
        <w:spacing w:before="0" w:beforeAutospacing="0" w:after="0" w:afterAutospacing="0"/>
        <w:rPr>
          <w:rFonts w:eastAsia="Calibri"/>
          <w:lang w:eastAsia="en-US"/>
        </w:rPr>
      </w:pPr>
      <w:bookmarkStart w:id="6" w:name="_Toc71640857"/>
      <w:r w:rsidRPr="00CB7AFF">
        <w:rPr>
          <w:rFonts w:eastAsia="Calibri"/>
          <w:lang w:eastAsia="en-US"/>
        </w:rPr>
        <w:t>61.02 – Зона Восточно-Камчатская</w:t>
      </w:r>
      <w:bookmarkEnd w:id="6"/>
    </w:p>
    <w:p w14:paraId="17EDCAD6" w14:textId="77777777" w:rsidR="00C9371A" w:rsidRPr="00CB7AFF" w:rsidRDefault="00C9371A" w:rsidP="00A82EDD">
      <w:pPr>
        <w:pStyle w:val="6"/>
        <w:spacing w:before="0" w:beforeAutospacing="0" w:after="0" w:afterAutospacing="0"/>
        <w:rPr>
          <w:rFonts w:eastAsia="Calibri"/>
          <w:lang w:eastAsia="en-US"/>
        </w:rPr>
      </w:pPr>
      <w:bookmarkStart w:id="7" w:name="_Toc71640858"/>
      <w:r w:rsidRPr="00CB7AFF">
        <w:rPr>
          <w:rFonts w:eastAsia="Calibri"/>
          <w:lang w:eastAsia="en-US"/>
        </w:rPr>
        <w:t>61.02.1 – Карагинская подзона</w:t>
      </w:r>
      <w:bookmarkEnd w:id="7"/>
    </w:p>
    <w:p w14:paraId="188B329C" w14:textId="77777777" w:rsidR="00C9371A" w:rsidRPr="00CB7AFF" w:rsidRDefault="00C9371A" w:rsidP="00A82EDD">
      <w:pPr>
        <w:pStyle w:val="6"/>
        <w:spacing w:before="0" w:beforeAutospacing="0" w:after="0" w:afterAutospacing="0"/>
        <w:rPr>
          <w:rFonts w:eastAsia="Calibri"/>
          <w:lang w:eastAsia="en-US"/>
        </w:rPr>
      </w:pPr>
      <w:bookmarkStart w:id="8" w:name="_Toc71640859"/>
      <w:r w:rsidRPr="00CB7AFF">
        <w:rPr>
          <w:rFonts w:eastAsia="Calibri"/>
          <w:lang w:eastAsia="en-US"/>
        </w:rPr>
        <w:t xml:space="preserve">61.02.2 – </w:t>
      </w:r>
      <w:proofErr w:type="spellStart"/>
      <w:r w:rsidRPr="00CB7AFF">
        <w:rPr>
          <w:rFonts w:eastAsia="Calibri"/>
          <w:lang w:eastAsia="en-US"/>
        </w:rPr>
        <w:t>Петропавловско</w:t>
      </w:r>
      <w:proofErr w:type="spellEnd"/>
      <w:r w:rsidRPr="00CB7AFF">
        <w:rPr>
          <w:rFonts w:eastAsia="Calibri"/>
          <w:lang w:eastAsia="en-US"/>
        </w:rPr>
        <w:t>-Командорская подзона</w:t>
      </w:r>
      <w:bookmarkEnd w:id="8"/>
    </w:p>
    <w:p w14:paraId="2F214D5C" w14:textId="77777777" w:rsidR="00C9371A" w:rsidRPr="00CB7AFF" w:rsidRDefault="00C9371A" w:rsidP="00A82EDD">
      <w:pPr>
        <w:pStyle w:val="6"/>
        <w:spacing w:before="0" w:beforeAutospacing="0" w:after="0" w:afterAutospacing="0"/>
        <w:rPr>
          <w:rFonts w:eastAsia="Calibri"/>
          <w:lang w:eastAsia="en-US"/>
        </w:rPr>
      </w:pPr>
      <w:bookmarkStart w:id="9" w:name="_Toc71640860"/>
      <w:r w:rsidRPr="00CB7AFF">
        <w:rPr>
          <w:rFonts w:eastAsia="Calibri"/>
          <w:lang w:eastAsia="en-US"/>
        </w:rPr>
        <w:t>61.03 – Зона Северо-Курильская</w:t>
      </w:r>
      <w:bookmarkEnd w:id="9"/>
    </w:p>
    <w:p w14:paraId="2BA18F3A" w14:textId="77777777" w:rsidR="00C9371A" w:rsidRPr="00CB7AFF" w:rsidRDefault="00C9371A" w:rsidP="00A82EDD">
      <w:pPr>
        <w:pStyle w:val="6"/>
        <w:spacing w:before="0" w:beforeAutospacing="0" w:after="0" w:afterAutospacing="0"/>
        <w:rPr>
          <w:rFonts w:eastAsia="Calibri"/>
          <w:lang w:eastAsia="en-US"/>
        </w:rPr>
      </w:pPr>
      <w:bookmarkStart w:id="10" w:name="_Toc71640861"/>
      <w:r w:rsidRPr="00CB7AFF">
        <w:rPr>
          <w:rFonts w:eastAsia="Calibri"/>
          <w:lang w:eastAsia="en-US"/>
        </w:rPr>
        <w:t>61.04 – Зона Южно-Курильская</w:t>
      </w:r>
      <w:bookmarkEnd w:id="10"/>
    </w:p>
    <w:p w14:paraId="70005E83" w14:textId="77777777" w:rsidR="00C9371A" w:rsidRPr="00CB7AFF" w:rsidRDefault="00C9371A" w:rsidP="00A82EDD">
      <w:pPr>
        <w:pStyle w:val="6"/>
        <w:spacing w:before="0" w:beforeAutospacing="0" w:after="0" w:afterAutospacing="0"/>
        <w:rPr>
          <w:rFonts w:eastAsia="Calibri"/>
          <w:lang w:eastAsia="en-US"/>
        </w:rPr>
      </w:pPr>
      <w:bookmarkStart w:id="11" w:name="_Toc71640862"/>
      <w:r w:rsidRPr="00CB7AFF">
        <w:rPr>
          <w:rFonts w:eastAsia="Calibri"/>
          <w:lang w:eastAsia="en-US"/>
        </w:rPr>
        <w:t>61.05 – Зона Охотское море</w:t>
      </w:r>
      <w:bookmarkEnd w:id="11"/>
    </w:p>
    <w:p w14:paraId="5936BB81" w14:textId="77777777" w:rsidR="00C9371A" w:rsidRPr="00CB7AFF" w:rsidRDefault="00C9371A" w:rsidP="00A82EDD">
      <w:pPr>
        <w:pStyle w:val="6"/>
        <w:spacing w:before="0" w:beforeAutospacing="0" w:after="0" w:afterAutospacing="0"/>
        <w:rPr>
          <w:rFonts w:eastAsia="Calibri"/>
          <w:lang w:eastAsia="en-US"/>
        </w:rPr>
      </w:pPr>
      <w:bookmarkStart w:id="12" w:name="_Toc71640863"/>
      <w:r w:rsidRPr="00CB7AFF">
        <w:rPr>
          <w:rFonts w:eastAsia="Calibri"/>
          <w:lang w:eastAsia="en-US"/>
        </w:rPr>
        <w:t>61.05.1 – Северо-</w:t>
      </w:r>
      <w:proofErr w:type="spellStart"/>
      <w:r w:rsidRPr="00CB7AFF">
        <w:rPr>
          <w:rFonts w:eastAsia="Calibri"/>
          <w:lang w:eastAsia="en-US"/>
        </w:rPr>
        <w:t>Охотоморская</w:t>
      </w:r>
      <w:proofErr w:type="spellEnd"/>
      <w:r w:rsidRPr="00CB7AFF">
        <w:rPr>
          <w:rFonts w:eastAsia="Calibri"/>
          <w:lang w:eastAsia="en-US"/>
        </w:rPr>
        <w:t xml:space="preserve"> подзона</w:t>
      </w:r>
      <w:bookmarkEnd w:id="12"/>
    </w:p>
    <w:p w14:paraId="23C41DB4" w14:textId="77777777" w:rsidR="00C9371A" w:rsidRPr="00CB7AFF" w:rsidRDefault="00C9371A" w:rsidP="00A82EDD">
      <w:pPr>
        <w:pStyle w:val="6"/>
        <w:spacing w:before="0" w:beforeAutospacing="0" w:after="0" w:afterAutospacing="0"/>
        <w:rPr>
          <w:rFonts w:eastAsia="Calibri"/>
          <w:lang w:eastAsia="en-US"/>
        </w:rPr>
      </w:pPr>
      <w:bookmarkStart w:id="13" w:name="_Toc71640864"/>
      <w:r w:rsidRPr="00CB7AFF">
        <w:rPr>
          <w:rFonts w:eastAsia="Calibri"/>
          <w:lang w:eastAsia="en-US"/>
        </w:rPr>
        <w:t>61.05.2 – Западно-Камчатская подзона</w:t>
      </w:r>
      <w:bookmarkEnd w:id="13"/>
    </w:p>
    <w:p w14:paraId="35B45410" w14:textId="77777777" w:rsidR="00C9371A" w:rsidRPr="00CB7AFF" w:rsidRDefault="00C9371A" w:rsidP="00A82EDD">
      <w:pPr>
        <w:pStyle w:val="6"/>
        <w:spacing w:before="0" w:beforeAutospacing="0" w:after="0" w:afterAutospacing="0"/>
        <w:rPr>
          <w:rFonts w:eastAsia="Calibri"/>
          <w:lang w:eastAsia="en-US"/>
        </w:rPr>
      </w:pPr>
      <w:bookmarkStart w:id="14" w:name="_Toc71640865"/>
      <w:r w:rsidRPr="00CB7AFF">
        <w:rPr>
          <w:rFonts w:eastAsia="Calibri"/>
          <w:lang w:eastAsia="en-US"/>
        </w:rPr>
        <w:t>61.05.3 – Восточно-Сахалинская подзона</w:t>
      </w:r>
      <w:bookmarkEnd w:id="14"/>
    </w:p>
    <w:p w14:paraId="6209C333" w14:textId="77777777" w:rsidR="00C9371A" w:rsidRPr="00CB7AFF" w:rsidRDefault="00C9371A" w:rsidP="00A82EDD">
      <w:pPr>
        <w:pStyle w:val="6"/>
        <w:spacing w:before="0" w:beforeAutospacing="0" w:after="0" w:afterAutospacing="0"/>
        <w:rPr>
          <w:rFonts w:eastAsia="Calibri"/>
          <w:lang w:eastAsia="en-US"/>
        </w:rPr>
      </w:pPr>
      <w:bookmarkStart w:id="15" w:name="_Toc71640866"/>
      <w:r w:rsidRPr="00CB7AFF">
        <w:rPr>
          <w:rFonts w:eastAsia="Calibri"/>
          <w:lang w:eastAsia="en-US"/>
        </w:rPr>
        <w:t xml:space="preserve">61.05.4 – </w:t>
      </w:r>
      <w:proofErr w:type="spellStart"/>
      <w:r w:rsidRPr="00CB7AFF">
        <w:rPr>
          <w:rFonts w:eastAsia="Calibri"/>
          <w:lang w:eastAsia="en-US"/>
        </w:rPr>
        <w:t>Камчатско</w:t>
      </w:r>
      <w:proofErr w:type="spellEnd"/>
      <w:r w:rsidRPr="00CB7AFF">
        <w:rPr>
          <w:rFonts w:eastAsia="Calibri"/>
          <w:lang w:eastAsia="en-US"/>
        </w:rPr>
        <w:t>-Курильская подзона</w:t>
      </w:r>
      <w:bookmarkEnd w:id="15"/>
    </w:p>
    <w:p w14:paraId="2B92701E" w14:textId="77777777" w:rsidR="00C9371A" w:rsidRPr="00CB7AFF" w:rsidRDefault="00C9371A" w:rsidP="00A82EDD">
      <w:pPr>
        <w:pStyle w:val="6"/>
        <w:spacing w:before="0" w:beforeAutospacing="0" w:after="0" w:afterAutospacing="0"/>
        <w:rPr>
          <w:rFonts w:eastAsia="Calibri"/>
          <w:lang w:eastAsia="en-US"/>
        </w:rPr>
      </w:pPr>
      <w:bookmarkStart w:id="16" w:name="_Toc71640867"/>
      <w:r w:rsidRPr="00CB7AFF">
        <w:rPr>
          <w:rFonts w:eastAsia="Calibri"/>
          <w:lang w:eastAsia="en-US"/>
        </w:rPr>
        <w:t>61.06 – Зона Японское море</w:t>
      </w:r>
      <w:bookmarkEnd w:id="16"/>
    </w:p>
    <w:p w14:paraId="2BE3FAA7" w14:textId="77777777" w:rsidR="00C9371A" w:rsidRPr="00CB7AFF" w:rsidRDefault="00C9371A" w:rsidP="00A82EDD">
      <w:pPr>
        <w:pStyle w:val="6"/>
        <w:spacing w:before="0" w:beforeAutospacing="0" w:after="0" w:afterAutospacing="0"/>
        <w:rPr>
          <w:rFonts w:eastAsia="Calibri"/>
          <w:lang w:eastAsia="en-US"/>
        </w:rPr>
      </w:pPr>
      <w:bookmarkStart w:id="17" w:name="_Toc71640868"/>
      <w:r w:rsidRPr="00CB7AFF">
        <w:rPr>
          <w:rFonts w:eastAsia="Calibri"/>
          <w:bCs/>
          <w:lang w:eastAsia="en-US"/>
        </w:rPr>
        <w:t xml:space="preserve">61.06.1 </w:t>
      </w:r>
      <w:r w:rsidRPr="00CB7AFF">
        <w:rPr>
          <w:rFonts w:eastAsia="Calibri"/>
          <w:lang w:eastAsia="en-US"/>
        </w:rPr>
        <w:t>–</w:t>
      </w:r>
      <w:r w:rsidRPr="00CB7AFF">
        <w:rPr>
          <w:rFonts w:eastAsia="Calibri"/>
          <w:bCs/>
          <w:lang w:eastAsia="en-US"/>
        </w:rPr>
        <w:t xml:space="preserve"> подзона </w:t>
      </w:r>
      <w:r w:rsidRPr="00CB7AFF">
        <w:rPr>
          <w:rFonts w:eastAsia="Calibri"/>
          <w:lang w:eastAsia="en-US"/>
        </w:rPr>
        <w:t>Приморье</w:t>
      </w:r>
      <w:bookmarkEnd w:id="17"/>
    </w:p>
    <w:p w14:paraId="6413A4A5" w14:textId="77777777" w:rsidR="00C9371A" w:rsidRPr="00CB7AFF" w:rsidRDefault="00C9371A" w:rsidP="00A82EDD">
      <w:pPr>
        <w:pStyle w:val="6"/>
        <w:spacing w:before="0" w:beforeAutospacing="0" w:after="0" w:afterAutospacing="0"/>
        <w:rPr>
          <w:rFonts w:eastAsia="Calibri"/>
          <w:lang w:eastAsia="en-US"/>
        </w:rPr>
      </w:pPr>
      <w:bookmarkStart w:id="18" w:name="_Toc71640869"/>
      <w:r w:rsidRPr="00CB7AFF">
        <w:rPr>
          <w:rFonts w:eastAsia="Calibri"/>
          <w:lang w:eastAsia="en-US"/>
        </w:rPr>
        <w:t>61.06.2 – Западно-Сахалинская подзона</w:t>
      </w:r>
      <w:bookmarkEnd w:id="18"/>
    </w:p>
    <w:p w14:paraId="60A02ED2" w14:textId="0F9B7F69" w:rsidR="00C9371A" w:rsidRPr="00CB7AFF" w:rsidRDefault="00C9371A" w:rsidP="00C9371A">
      <w:pPr>
        <w:pStyle w:val="a5"/>
        <w:rPr>
          <w:rFonts w:eastAsia="Calibri"/>
        </w:rPr>
      </w:pPr>
      <w:r w:rsidRPr="00CB7AFF">
        <w:rPr>
          <w:rFonts w:eastAsia="Calibri"/>
        </w:rPr>
        <w:t xml:space="preserve">Исполнитель: </w:t>
      </w:r>
      <w:proofErr w:type="spellStart"/>
      <w:r w:rsidR="001015B6">
        <w:rPr>
          <w:rFonts w:eastAsia="Calibri"/>
        </w:rPr>
        <w:t>Канзепарова</w:t>
      </w:r>
      <w:proofErr w:type="spellEnd"/>
      <w:r w:rsidR="001015B6">
        <w:rPr>
          <w:rFonts w:eastAsia="Calibri"/>
        </w:rPr>
        <w:t xml:space="preserve"> А.Н.</w:t>
      </w:r>
      <w:r w:rsidRPr="00CB7AFF">
        <w:rPr>
          <w:rFonts w:eastAsia="Calibri"/>
        </w:rPr>
        <w:t xml:space="preserve"> (Центральный аппарат ФГБНУ «ВНИРО»)</w:t>
      </w:r>
    </w:p>
    <w:p w14:paraId="050552A2" w14:textId="77777777" w:rsidR="00C9371A" w:rsidRPr="00CB7AFF" w:rsidRDefault="00C9371A" w:rsidP="00C9371A">
      <w:pPr>
        <w:pStyle w:val="2"/>
      </w:pPr>
      <w:r w:rsidRPr="00CB7AFF">
        <w:t>Анализ доступного информационного обеспечения</w:t>
      </w:r>
    </w:p>
    <w:p w14:paraId="383FB5A4" w14:textId="7E593213" w:rsidR="00C9371A" w:rsidRPr="00CB7AFF" w:rsidRDefault="00C9371A" w:rsidP="00C9371A">
      <w:pPr>
        <w:rPr>
          <w:rFonts w:eastAsia="Calibri"/>
          <w:lang w:eastAsia="en-US"/>
        </w:rPr>
      </w:pPr>
      <w:r w:rsidRPr="00CB7AFF">
        <w:rPr>
          <w:rFonts w:eastAsia="Calibri"/>
          <w:lang w:eastAsia="en-US"/>
        </w:rPr>
        <w:t>В основу оценки прогноза ОДУ тихоокеанских лососей (горбуши, кеты, нерки, кижуча, чавычи) в исключительной экономической зоне Российской Федерации (далее – ИЭЗ России) на Дальнем Востоке в 202</w:t>
      </w:r>
      <w:r w:rsidR="001015B6">
        <w:rPr>
          <w:rFonts w:eastAsia="Calibri"/>
          <w:lang w:eastAsia="en-US"/>
        </w:rPr>
        <w:t>3</w:t>
      </w:r>
      <w:r w:rsidRPr="00CB7AFF">
        <w:rPr>
          <w:rFonts w:eastAsia="Calibri"/>
          <w:lang w:eastAsia="en-US"/>
        </w:rPr>
        <w:t xml:space="preserve"> г. положены многолетние данные, отражающие:</w:t>
      </w:r>
    </w:p>
    <w:p w14:paraId="7F283588" w14:textId="77777777" w:rsidR="00C9371A" w:rsidRPr="00CB7AFF" w:rsidRDefault="00C9371A" w:rsidP="00C9371A">
      <w:pPr>
        <w:rPr>
          <w:rFonts w:eastAsia="MS Mincho"/>
        </w:rPr>
      </w:pPr>
      <w:r w:rsidRPr="00CB7AFF">
        <w:rPr>
          <w:rFonts w:eastAsia="MS Mincho"/>
        </w:rPr>
        <w:t>– уровень естественной смертности тихоокеанских лососей в год нерестовой миграции, основанный на литературных и собственных архивных материалах;</w:t>
      </w:r>
    </w:p>
    <w:p w14:paraId="449AA442" w14:textId="77777777" w:rsidR="00C9371A" w:rsidRPr="00CB7AFF" w:rsidRDefault="00C9371A" w:rsidP="00C9371A">
      <w:pPr>
        <w:rPr>
          <w:rFonts w:eastAsia="MS Mincho"/>
        </w:rPr>
      </w:pPr>
      <w:r w:rsidRPr="00CB7AFF">
        <w:rPr>
          <w:rFonts w:eastAsia="MS Mincho"/>
        </w:rPr>
        <w:t>– величину морского промысла тихоокеанских лососей;</w:t>
      </w:r>
    </w:p>
    <w:p w14:paraId="7B9C4992" w14:textId="77777777" w:rsidR="00C9371A" w:rsidRPr="00CB7AFF" w:rsidRDefault="00C9371A" w:rsidP="00C9371A">
      <w:pPr>
        <w:rPr>
          <w:rFonts w:eastAsia="MS Mincho"/>
        </w:rPr>
      </w:pPr>
      <w:r w:rsidRPr="00CB7AFF">
        <w:rPr>
          <w:rFonts w:eastAsia="MS Mincho"/>
        </w:rPr>
        <w:t>– величину российских уловов тихоокеанских лососей в прибрежных районах Дальнего Востока России;</w:t>
      </w:r>
    </w:p>
    <w:p w14:paraId="35BF5ED3" w14:textId="77777777" w:rsidR="00C9371A" w:rsidRPr="00CB7AFF" w:rsidRDefault="00C9371A" w:rsidP="00C9371A">
      <w:pPr>
        <w:rPr>
          <w:rFonts w:eastAsia="MS Mincho"/>
        </w:rPr>
      </w:pPr>
      <w:r w:rsidRPr="00CB7AFF">
        <w:rPr>
          <w:rFonts w:eastAsia="MS Mincho"/>
        </w:rPr>
        <w:lastRenderedPageBreak/>
        <w:t>– состоянии запасов тихоокеанских лососей Дальнего Востока России в настоящий период.</w:t>
      </w:r>
    </w:p>
    <w:p w14:paraId="09A59701" w14:textId="77777777" w:rsidR="00C9371A" w:rsidRPr="00CB7AFF" w:rsidRDefault="00C9371A" w:rsidP="00C9371A">
      <w:pPr>
        <w:rPr>
          <w:rFonts w:eastAsia="Calibri"/>
          <w:szCs w:val="28"/>
          <w:lang w:eastAsia="en-US"/>
        </w:rPr>
      </w:pPr>
      <w:r w:rsidRPr="00CB7AFF">
        <w:rPr>
          <w:rFonts w:eastAsia="Calibri"/>
          <w:szCs w:val="28"/>
          <w:lang w:eastAsia="en-US"/>
        </w:rPr>
        <w:t xml:space="preserve">Уровень информационного обеспечения прогноза ОДУ тихоокеанских лососей в ИЭЗ России на Дальнем Востоке можно оценить, как удовлетворительный, а его структура и качество соответствуют </w:t>
      </w:r>
      <w:r w:rsidRPr="00CB7AFF">
        <w:rPr>
          <w:rFonts w:eastAsia="Calibri"/>
          <w:szCs w:val="28"/>
          <w:lang w:val="en-US" w:eastAsia="en-US"/>
        </w:rPr>
        <w:t>III</w:t>
      </w:r>
      <w:r w:rsidRPr="00CB7AFF">
        <w:rPr>
          <w:rFonts w:eastAsia="Calibri"/>
          <w:szCs w:val="28"/>
          <w:lang w:eastAsia="en-US"/>
        </w:rPr>
        <w:t xml:space="preserve"> уровню (приложение 1 к Приказу Росрыболовства от 06.02.2015 № 104).</w:t>
      </w:r>
    </w:p>
    <w:p w14:paraId="309EA661" w14:textId="77777777" w:rsidR="00C9371A" w:rsidRPr="00CB7AFF" w:rsidRDefault="00C9371A" w:rsidP="00C9371A">
      <w:pPr>
        <w:pStyle w:val="2"/>
      </w:pPr>
      <w:r w:rsidRPr="00CB7AFF">
        <w:t>Обоснование выбора методов оценки запаса</w:t>
      </w:r>
    </w:p>
    <w:p w14:paraId="5161A6BD" w14:textId="77777777" w:rsidR="00C9371A" w:rsidRPr="00CB7AFF" w:rsidRDefault="00C9371A" w:rsidP="00C9371A">
      <w:pPr>
        <w:rPr>
          <w:rFonts w:eastAsia="Calibri"/>
          <w:lang w:eastAsia="en-US"/>
        </w:rPr>
      </w:pPr>
      <w:r w:rsidRPr="00CB7AFF">
        <w:rPr>
          <w:rFonts w:eastAsia="Calibri"/>
          <w:lang w:eastAsia="en-US"/>
        </w:rPr>
        <w:t xml:space="preserve">До 2009 г. объем вылова тихоокеанских лососей в море рассчитывали на </w:t>
      </w:r>
      <w:r w:rsidRPr="000E72C0">
        <w:rPr>
          <w:rFonts w:eastAsia="Calibri"/>
          <w:lang w:eastAsia="en-US"/>
        </w:rPr>
        <w:t>текущий год [</w:t>
      </w:r>
      <w:bookmarkStart w:id="19" w:name="_Hlk37868736"/>
      <w:r w:rsidRPr="000E72C0">
        <w:rPr>
          <w:rFonts w:eastAsia="Calibri"/>
          <w:lang w:eastAsia="en-US"/>
        </w:rPr>
        <w:t xml:space="preserve">Гриценко, </w:t>
      </w:r>
      <w:proofErr w:type="spellStart"/>
      <w:r w:rsidRPr="000E72C0">
        <w:rPr>
          <w:rFonts w:eastAsia="Calibri"/>
          <w:lang w:eastAsia="en-US"/>
        </w:rPr>
        <w:t>Кловач</w:t>
      </w:r>
      <w:proofErr w:type="spellEnd"/>
      <w:r w:rsidRPr="000E72C0">
        <w:rPr>
          <w:rFonts w:eastAsia="Calibri"/>
          <w:lang w:eastAsia="en-US"/>
        </w:rPr>
        <w:t>, Рассадников, 2004</w:t>
      </w:r>
      <w:bookmarkEnd w:id="19"/>
      <w:r w:rsidRPr="000E72C0">
        <w:rPr>
          <w:rFonts w:eastAsia="Calibri"/>
          <w:lang w:eastAsia="en-US"/>
        </w:rPr>
        <w:t>]. В настоящее</w:t>
      </w:r>
      <w:r w:rsidRPr="00CB7AFF">
        <w:rPr>
          <w:rFonts w:eastAsia="Calibri"/>
          <w:lang w:eastAsia="en-US"/>
        </w:rPr>
        <w:t xml:space="preserve"> время ОДУ тихоокеанских лососей в ИЭЗ России необходимо определить за год до того, как будут оценены запасы и определен прогнозируемый объем их вылова. Поэтому в своих расчетах мы основываемся на представлениях о состоянии запасов лососей и их динамике за последнее десятилетие. При этом, объем морского промысла определен исходя из приоритета сохранения запасов и обеспечения прибрежного промысла, составляющего около 95% от суммарного объема добычи лососей в прибрежье и ИЭЗ России.</w:t>
      </w:r>
    </w:p>
    <w:p w14:paraId="2A466FC9" w14:textId="09CA36F8" w:rsidR="00C9371A" w:rsidRPr="00CB7AFF" w:rsidRDefault="00C9371A" w:rsidP="00C9371A">
      <w:pPr>
        <w:rPr>
          <w:rFonts w:eastAsia="Calibri"/>
          <w:lang w:eastAsia="en-US"/>
        </w:rPr>
      </w:pPr>
      <w:r w:rsidRPr="00CB7AFF">
        <w:rPr>
          <w:rFonts w:eastAsia="Calibri"/>
          <w:lang w:eastAsia="en-US"/>
        </w:rPr>
        <w:t xml:space="preserve">Морской дрифтерный промысел тихоокеанских лососей состоит из двух периодов. Первоначально, пограничным был 1978 г., т.е. год заключения между СССР и Японией рыболовного договора, ограничившего объемы вылова и размер промысловых участков [Куклина, 2017]. Однако, регрессионный анализ позволил уточнить границу периодов: первый – с 1956 по 1976 г., второй – с </w:t>
      </w:r>
      <w:r w:rsidRPr="00012322">
        <w:rPr>
          <w:rFonts w:eastAsia="Calibri"/>
          <w:lang w:eastAsia="en-US"/>
        </w:rPr>
        <w:t>1978 по 201</w:t>
      </w:r>
      <w:r w:rsidR="00012322" w:rsidRPr="00012322">
        <w:rPr>
          <w:rFonts w:eastAsia="Calibri"/>
          <w:lang w:eastAsia="en-US"/>
        </w:rPr>
        <w:t>6</w:t>
      </w:r>
      <w:r w:rsidRPr="00012322">
        <w:rPr>
          <w:rFonts w:eastAsia="Calibri"/>
          <w:lang w:eastAsia="en-US"/>
        </w:rPr>
        <w:t> г. (рис</w:t>
      </w:r>
      <w:r w:rsidRPr="00CB7AFF">
        <w:rPr>
          <w:rFonts w:eastAsia="Calibri"/>
          <w:lang w:eastAsia="en-US"/>
        </w:rPr>
        <w:t>. 1). Из перечня выпадает 1977 г., что закономерно, т.к. на него приходится активная перестройка в мировом рыболовстве, связанная с введением 200-мильных ИЭЗ [</w:t>
      </w:r>
      <w:proofErr w:type="spellStart"/>
      <w:r w:rsidRPr="00CB7AFF">
        <w:rPr>
          <w:rFonts w:eastAsia="Calibri"/>
          <w:lang w:val="en-US" w:eastAsia="en-US"/>
        </w:rPr>
        <w:t>Jounston</w:t>
      </w:r>
      <w:proofErr w:type="spellEnd"/>
      <w:r w:rsidRPr="00CB7AFF">
        <w:rPr>
          <w:rFonts w:eastAsia="Calibri"/>
          <w:lang w:eastAsia="en-US"/>
        </w:rPr>
        <w:t xml:space="preserve">, </w:t>
      </w:r>
      <w:r w:rsidRPr="00CB7AFF">
        <w:rPr>
          <w:rFonts w:eastAsia="Calibri"/>
          <w:lang w:val="en-US" w:eastAsia="en-US"/>
        </w:rPr>
        <w:t>Valencia</w:t>
      </w:r>
      <w:r w:rsidRPr="00CB7AFF">
        <w:rPr>
          <w:rFonts w:eastAsia="Calibri"/>
          <w:lang w:eastAsia="en-US"/>
        </w:rPr>
        <w:t>, 1995].</w:t>
      </w:r>
    </w:p>
    <w:p w14:paraId="6B3B44AA" w14:textId="77777777" w:rsidR="00C9371A" w:rsidRPr="00CB7AFF" w:rsidRDefault="00C9371A" w:rsidP="00C9371A">
      <w:pPr>
        <w:pStyle w:val="a7"/>
        <w:keepNext/>
        <w:rPr>
          <w:rFonts w:eastAsia="Calibri"/>
          <w:lang w:eastAsia="en-US"/>
        </w:rPr>
      </w:pPr>
      <w:r>
        <w:rPr>
          <w:rFonts w:eastAsia="Calibri"/>
        </w:rPr>
        <w:drawing>
          <wp:inline distT="0" distB="0" distL="0" distR="0" wp14:anchorId="0852918A" wp14:editId="62A602FE">
            <wp:extent cx="5935980" cy="177546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1775460"/>
                    </a:xfrm>
                    <a:prstGeom prst="rect">
                      <a:avLst/>
                    </a:prstGeom>
                    <a:noFill/>
                    <a:ln>
                      <a:noFill/>
                    </a:ln>
                  </pic:spPr>
                </pic:pic>
              </a:graphicData>
            </a:graphic>
          </wp:inline>
        </w:drawing>
      </w:r>
    </w:p>
    <w:p w14:paraId="5BC61502" w14:textId="54C39F6E" w:rsidR="00C9371A" w:rsidRPr="00CB7AFF" w:rsidRDefault="00C9371A" w:rsidP="00C9371A">
      <w:pPr>
        <w:pStyle w:val="a7"/>
        <w:keepNext/>
        <w:rPr>
          <w:rFonts w:eastAsia="Calibri"/>
          <w:lang w:eastAsia="en-US"/>
        </w:rPr>
      </w:pPr>
      <w:r w:rsidRPr="00CB7AFF">
        <w:rPr>
          <w:rFonts w:eastAsia="Calibri"/>
          <w:lang w:eastAsia="en-US"/>
        </w:rPr>
        <w:t>Рис. 1. Зависимость объемов добычи тихоокеанских лососей в море от объема их берегового вылова: А — 1956–1976 гг., Б — 1978</w:t>
      </w:r>
      <w:r w:rsidRPr="00012322">
        <w:rPr>
          <w:rFonts w:eastAsia="Calibri"/>
          <w:lang w:eastAsia="en-US"/>
        </w:rPr>
        <w:t>–201</w:t>
      </w:r>
      <w:r w:rsidR="00012322" w:rsidRPr="00012322">
        <w:rPr>
          <w:rFonts w:eastAsia="Calibri"/>
          <w:lang w:eastAsia="en-US"/>
        </w:rPr>
        <w:t>6</w:t>
      </w:r>
      <w:r w:rsidRPr="00012322">
        <w:rPr>
          <w:rFonts w:eastAsia="Calibri"/>
          <w:lang w:eastAsia="en-US"/>
        </w:rPr>
        <w:t> гг.</w:t>
      </w:r>
    </w:p>
    <w:p w14:paraId="5920D341" w14:textId="65C260FF" w:rsidR="00C9371A" w:rsidRPr="00CB7AFF" w:rsidRDefault="00C9371A" w:rsidP="00C9371A">
      <w:pPr>
        <w:rPr>
          <w:rFonts w:eastAsia="Calibri"/>
          <w:szCs w:val="22"/>
          <w:lang w:eastAsia="en-US"/>
        </w:rPr>
      </w:pPr>
      <w:r w:rsidRPr="00CB7AFF">
        <w:rPr>
          <w:rFonts w:eastAsia="Calibri"/>
          <w:szCs w:val="22"/>
          <w:lang w:eastAsia="en-US"/>
        </w:rPr>
        <w:t xml:space="preserve">Рассматривая береговые и морские уловы, отметим, что высокий уровень дрифтерного промысла, когда его </w:t>
      </w:r>
      <w:r w:rsidRPr="00CB7AFF">
        <w:rPr>
          <w:rFonts w:eastAsia="Calibri"/>
          <w:szCs w:val="28"/>
          <w:lang w:eastAsia="en-US"/>
        </w:rPr>
        <w:t>среднемноголетние</w:t>
      </w:r>
      <w:r w:rsidRPr="00CB7AFF">
        <w:rPr>
          <w:rFonts w:eastAsia="Calibri"/>
          <w:szCs w:val="22"/>
          <w:lang w:eastAsia="en-US"/>
        </w:rPr>
        <w:t xml:space="preserve"> объемы находились на уровне 82 тыс. т</w:t>
      </w:r>
      <w:r w:rsidR="0000593D">
        <w:rPr>
          <w:rFonts w:eastAsia="Calibri"/>
          <w:szCs w:val="22"/>
          <w:lang w:eastAsia="en-US"/>
        </w:rPr>
        <w:t xml:space="preserve"> был характерен </w:t>
      </w:r>
      <w:r w:rsidR="0000593D" w:rsidRPr="00CB7AFF">
        <w:rPr>
          <w:rFonts w:eastAsia="Calibri"/>
          <w:szCs w:val="22"/>
          <w:lang w:eastAsia="en-US"/>
        </w:rPr>
        <w:t>для 1956–1976 гг.</w:t>
      </w:r>
      <w:r w:rsidRPr="00CB7AFF">
        <w:rPr>
          <w:rFonts w:eastAsia="Calibri"/>
          <w:szCs w:val="22"/>
          <w:lang w:eastAsia="en-US"/>
        </w:rPr>
        <w:t xml:space="preserve">, </w:t>
      </w:r>
      <w:r w:rsidR="0000593D">
        <w:rPr>
          <w:rFonts w:eastAsia="Calibri"/>
          <w:szCs w:val="22"/>
          <w:lang w:eastAsia="en-US"/>
        </w:rPr>
        <w:t>в то время</w:t>
      </w:r>
      <w:r w:rsidRPr="00CB7AFF">
        <w:rPr>
          <w:rFonts w:eastAsia="Calibri"/>
          <w:szCs w:val="22"/>
          <w:lang w:eastAsia="en-US"/>
        </w:rPr>
        <w:t xml:space="preserve"> объемы берегового вылова снижались</w:t>
      </w:r>
      <w:r w:rsidR="0000593D">
        <w:rPr>
          <w:rFonts w:eastAsia="Calibri"/>
          <w:szCs w:val="22"/>
          <w:lang w:eastAsia="en-US"/>
        </w:rPr>
        <w:t>.</w:t>
      </w:r>
      <w:r w:rsidRPr="00CB7AFF">
        <w:rPr>
          <w:rFonts w:eastAsia="Calibri"/>
          <w:szCs w:val="22"/>
          <w:lang w:eastAsia="en-US"/>
        </w:rPr>
        <w:t xml:space="preserve"> Особенностью второго периода – с </w:t>
      </w:r>
      <w:r w:rsidRPr="00CB7AFF">
        <w:rPr>
          <w:rFonts w:eastAsia="Calibri"/>
          <w:szCs w:val="22"/>
          <w:lang w:eastAsia="en-US"/>
        </w:rPr>
        <w:lastRenderedPageBreak/>
        <w:t>1978 по 201</w:t>
      </w:r>
      <w:r w:rsidR="00AB20C6">
        <w:rPr>
          <w:rFonts w:eastAsia="Calibri"/>
          <w:szCs w:val="22"/>
          <w:lang w:eastAsia="en-US"/>
        </w:rPr>
        <w:t>5</w:t>
      </w:r>
      <w:r w:rsidRPr="00CB7AFF">
        <w:rPr>
          <w:rFonts w:eastAsia="Calibri"/>
          <w:szCs w:val="22"/>
          <w:lang w:eastAsia="en-US"/>
        </w:rPr>
        <w:t xml:space="preserve"> г. – было увеличение объемов берегового и снижение морского вылова тихоокеанских лососей (рис. 2).</w:t>
      </w:r>
    </w:p>
    <w:p w14:paraId="5B55432C" w14:textId="3E3DCCD4" w:rsidR="00C9371A" w:rsidRPr="00CB7AFF" w:rsidRDefault="00C9371A" w:rsidP="00C9371A">
      <w:pPr>
        <w:rPr>
          <w:rFonts w:eastAsia="Calibri"/>
          <w:szCs w:val="22"/>
          <w:lang w:eastAsia="en-US"/>
        </w:rPr>
      </w:pPr>
      <w:r w:rsidRPr="00CB7AFF">
        <w:rPr>
          <w:rFonts w:eastAsia="Calibri"/>
          <w:szCs w:val="22"/>
          <w:lang w:eastAsia="en-US"/>
        </w:rPr>
        <w:t>В настоящее время тенденция, направленная на снижение морского промысла, не изменилась. Соответственно, для оценки объема ОДУ тихоокеанских лососей в 202</w:t>
      </w:r>
      <w:r w:rsidR="00AB20C6">
        <w:rPr>
          <w:rFonts w:eastAsia="Calibri"/>
          <w:szCs w:val="22"/>
          <w:lang w:eastAsia="en-US"/>
        </w:rPr>
        <w:t>3</w:t>
      </w:r>
      <w:r w:rsidRPr="00CB7AFF">
        <w:rPr>
          <w:rFonts w:eastAsia="Calibri"/>
          <w:szCs w:val="22"/>
          <w:lang w:eastAsia="en-US"/>
        </w:rPr>
        <w:t> году наиболее пригодно полиномиальное уравнение 3-й степени, приведенное на рисунок 1Б.</w:t>
      </w:r>
    </w:p>
    <w:p w14:paraId="7ABE490F" w14:textId="77777777" w:rsidR="00C9371A" w:rsidRPr="00CB7AFF" w:rsidRDefault="00C9371A" w:rsidP="00C9371A">
      <w:pPr>
        <w:pStyle w:val="a7"/>
        <w:rPr>
          <w:rFonts w:eastAsia="Calibri"/>
          <w:lang w:eastAsia="en-US"/>
        </w:rPr>
      </w:pPr>
      <w:r>
        <w:rPr>
          <w:rFonts w:eastAsia="Calibri"/>
        </w:rPr>
        <w:drawing>
          <wp:inline distT="0" distB="0" distL="0" distR="0" wp14:anchorId="15CDBC64" wp14:editId="10C1144F">
            <wp:extent cx="6134100" cy="3589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3589020"/>
                    </a:xfrm>
                    <a:prstGeom prst="rect">
                      <a:avLst/>
                    </a:prstGeom>
                    <a:noFill/>
                    <a:ln>
                      <a:noFill/>
                    </a:ln>
                  </pic:spPr>
                </pic:pic>
              </a:graphicData>
            </a:graphic>
          </wp:inline>
        </w:drawing>
      </w:r>
    </w:p>
    <w:p w14:paraId="7105D0A3" w14:textId="6C039709" w:rsidR="00C9371A" w:rsidRPr="00CB7AFF" w:rsidRDefault="00C9371A" w:rsidP="00C9371A">
      <w:pPr>
        <w:pStyle w:val="a7"/>
        <w:rPr>
          <w:rFonts w:eastAsia="Calibri"/>
          <w:lang w:eastAsia="en-US"/>
        </w:rPr>
      </w:pPr>
      <w:r w:rsidRPr="00CB7AFF">
        <w:rPr>
          <w:rFonts w:eastAsia="Calibri"/>
          <w:lang w:eastAsia="en-US"/>
        </w:rPr>
        <w:t>Рис. 2. Вылов тихоокеанских лососей российскими и японскими судами в ИЭЗ России и береговой вылов России в 1956–202</w:t>
      </w:r>
      <w:r w:rsidR="00AB20C6">
        <w:rPr>
          <w:rFonts w:eastAsia="Calibri"/>
          <w:lang w:eastAsia="en-US"/>
        </w:rPr>
        <w:t>1</w:t>
      </w:r>
      <w:r w:rsidRPr="00CB7AFF">
        <w:rPr>
          <w:rFonts w:eastAsia="Calibri"/>
          <w:lang w:eastAsia="en-US"/>
        </w:rPr>
        <w:t xml:space="preserve"> гг., тыс. т</w:t>
      </w:r>
    </w:p>
    <w:p w14:paraId="0721F7BA" w14:textId="77777777" w:rsidR="00C9371A" w:rsidRPr="00CB7AFF" w:rsidRDefault="00C9371A" w:rsidP="00C9371A">
      <w:pPr>
        <w:pStyle w:val="2"/>
        <w:keepNext/>
      </w:pPr>
      <w:r w:rsidRPr="00CB7AFF">
        <w:t>Ретроспективный анализ состояния запаса и промысла</w:t>
      </w:r>
    </w:p>
    <w:p w14:paraId="3D294D72" w14:textId="77777777" w:rsidR="00C9371A" w:rsidRPr="00CB7AFF" w:rsidRDefault="00C9371A" w:rsidP="00C9371A">
      <w:pPr>
        <w:keepNext/>
        <w:rPr>
          <w:rFonts w:eastAsia="Calibri"/>
          <w:szCs w:val="22"/>
          <w:lang w:eastAsia="en-US"/>
        </w:rPr>
      </w:pPr>
      <w:r w:rsidRPr="00CB7AFF">
        <w:rPr>
          <w:rFonts w:eastAsia="Calibri"/>
          <w:szCs w:val="22"/>
          <w:lang w:eastAsia="en-US"/>
        </w:rPr>
        <w:t xml:space="preserve">Запасы тихоокеанских лососей на Дальнем Востоке России в настоящий период находятся в хорошем состоянии и обеспечивают высокие береговые уловы. </w:t>
      </w:r>
      <w:r w:rsidRPr="00CB7AFF">
        <w:rPr>
          <w:rFonts w:eastAsia="Calibri"/>
          <w:szCs w:val="28"/>
          <w:lang w:eastAsia="en-US"/>
        </w:rPr>
        <w:t xml:space="preserve">Максимальный за всю историю </w:t>
      </w:r>
      <w:r w:rsidRPr="00CB7AFF">
        <w:rPr>
          <w:szCs w:val="20"/>
        </w:rPr>
        <w:t>наблюдений</w:t>
      </w:r>
      <w:r w:rsidRPr="00CB7AFF">
        <w:rPr>
          <w:rFonts w:eastAsia="Calibri"/>
          <w:szCs w:val="28"/>
          <w:lang w:eastAsia="en-US"/>
        </w:rPr>
        <w:t xml:space="preserve"> вылов тихоокеанских лососей прибрежным промыслом был получен в 2018 г. – более 670 тыс. т. Второй по величине вылов был зарегистрирован в 2009 г. – 540 тыс. т (рис. 2)</w:t>
      </w:r>
      <w:r w:rsidRPr="00CB7AFF">
        <w:rPr>
          <w:rFonts w:eastAsia="Calibri"/>
          <w:szCs w:val="22"/>
          <w:lang w:eastAsia="en-US"/>
        </w:rPr>
        <w:t>. Следует отметить, что</w:t>
      </w:r>
      <w:r w:rsidRPr="00CB7AFF">
        <w:rPr>
          <w:rFonts w:eastAsia="Calibri"/>
          <w:szCs w:val="28"/>
          <w:lang w:eastAsia="en-US"/>
        </w:rPr>
        <w:t xml:space="preserve"> з</w:t>
      </w:r>
      <w:r w:rsidRPr="00CB7AFF">
        <w:rPr>
          <w:szCs w:val="28"/>
        </w:rPr>
        <w:t>апасы кеты и нерки – основных промысловых видов в ИЭЗ России — сохраняют высокую численность и обеспечивают высокие уловы в районах прибрежного промысла и воспроизводства (табл. 1).</w:t>
      </w:r>
    </w:p>
    <w:p w14:paraId="748CF510" w14:textId="77777777" w:rsidR="00C9371A" w:rsidRPr="00CB7AFF" w:rsidRDefault="00C9371A" w:rsidP="00C9371A">
      <w:pPr>
        <w:ind w:firstLine="0"/>
        <w:jc w:val="right"/>
        <w:rPr>
          <w:rFonts w:eastAsia="Calibri"/>
          <w:bCs/>
          <w:sz w:val="24"/>
          <w:szCs w:val="28"/>
          <w:lang w:eastAsia="en-US"/>
        </w:rPr>
      </w:pPr>
      <w:bookmarkStart w:id="20" w:name="_Hlk120283229"/>
      <w:bookmarkStart w:id="21" w:name="OLE_LINK1"/>
      <w:r w:rsidRPr="00CB7AFF">
        <w:rPr>
          <w:rFonts w:eastAsia="Calibri"/>
          <w:bCs/>
          <w:sz w:val="24"/>
          <w:szCs w:val="28"/>
          <w:lang w:eastAsia="en-US"/>
        </w:rPr>
        <w:t>Таблица 1</w:t>
      </w:r>
    </w:p>
    <w:p w14:paraId="5EA2612B" w14:textId="69A02B5F" w:rsidR="00C9371A" w:rsidRPr="00CB7AFF" w:rsidRDefault="00C9371A" w:rsidP="00C9371A">
      <w:pPr>
        <w:ind w:firstLine="0"/>
        <w:jc w:val="center"/>
        <w:rPr>
          <w:rFonts w:eastAsia="Calibri"/>
          <w:b/>
          <w:sz w:val="24"/>
          <w:szCs w:val="28"/>
          <w:lang w:eastAsia="en-US"/>
        </w:rPr>
      </w:pPr>
      <w:r w:rsidRPr="00CB7AFF">
        <w:rPr>
          <w:rFonts w:eastAsia="Calibri"/>
          <w:b/>
          <w:sz w:val="24"/>
          <w:szCs w:val="28"/>
          <w:lang w:eastAsia="en-US"/>
        </w:rPr>
        <w:t>Объем вылова тихоокеанских лососей в Дальневосточном рыбохозяйственном бассейне в 201</w:t>
      </w:r>
      <w:r w:rsidR="00A5341F">
        <w:rPr>
          <w:rFonts w:eastAsia="Calibri"/>
          <w:b/>
          <w:sz w:val="24"/>
          <w:szCs w:val="28"/>
          <w:lang w:eastAsia="en-US"/>
        </w:rPr>
        <w:t>2</w:t>
      </w:r>
      <w:r w:rsidRPr="00CB7AFF">
        <w:rPr>
          <w:rFonts w:eastAsia="Calibri"/>
          <w:b/>
          <w:sz w:val="24"/>
          <w:szCs w:val="28"/>
          <w:lang w:eastAsia="en-US"/>
        </w:rPr>
        <w:t>–202</w:t>
      </w:r>
      <w:r w:rsidR="00A5341F">
        <w:rPr>
          <w:rFonts w:eastAsia="Calibri"/>
          <w:b/>
          <w:sz w:val="24"/>
          <w:szCs w:val="28"/>
          <w:lang w:eastAsia="en-US"/>
        </w:rPr>
        <w:t>1</w:t>
      </w:r>
      <w:r w:rsidRPr="00CB7AFF">
        <w:rPr>
          <w:rFonts w:eastAsia="Calibri"/>
          <w:b/>
          <w:sz w:val="24"/>
          <w:szCs w:val="28"/>
          <w:lang w:eastAsia="en-US"/>
        </w:rPr>
        <w:t xml:space="preserve"> гг., тыс. 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16"/>
        <w:gridCol w:w="1315"/>
        <w:gridCol w:w="1316"/>
        <w:gridCol w:w="1315"/>
        <w:gridCol w:w="1316"/>
        <w:gridCol w:w="1621"/>
      </w:tblGrid>
      <w:tr w:rsidR="00C9371A" w:rsidRPr="00CB7AFF" w14:paraId="7B27B662" w14:textId="77777777" w:rsidTr="000D48F3">
        <w:trPr>
          <w:jc w:val="center"/>
        </w:trPr>
        <w:tc>
          <w:tcPr>
            <w:tcW w:w="1372" w:type="dxa"/>
            <w:vMerge w:val="restart"/>
            <w:shd w:val="clear" w:color="auto" w:fill="auto"/>
            <w:noWrap/>
            <w:vAlign w:val="center"/>
            <w:hideMark/>
          </w:tcPr>
          <w:bookmarkEnd w:id="20"/>
          <w:p w14:paraId="1676A04A" w14:textId="77777777" w:rsidR="00C9371A" w:rsidRPr="00CB7AFF" w:rsidRDefault="00C9371A" w:rsidP="001542A1">
            <w:pPr>
              <w:spacing w:before="100" w:beforeAutospacing="1" w:after="100" w:afterAutospacing="1"/>
              <w:ind w:firstLine="0"/>
              <w:jc w:val="center"/>
              <w:rPr>
                <w:b/>
                <w:bCs/>
                <w:sz w:val="22"/>
                <w:szCs w:val="22"/>
              </w:rPr>
            </w:pPr>
            <w:r w:rsidRPr="00CB7AFF">
              <w:rPr>
                <w:rFonts w:eastAsia="Franklin Gothic Heavy"/>
                <w:b/>
                <w:bCs/>
                <w:sz w:val="22"/>
                <w:szCs w:val="22"/>
              </w:rPr>
              <w:t>Год</w:t>
            </w:r>
          </w:p>
        </w:tc>
        <w:tc>
          <w:tcPr>
            <w:tcW w:w="6578" w:type="dxa"/>
            <w:gridSpan w:val="5"/>
            <w:shd w:val="clear" w:color="auto" w:fill="auto"/>
            <w:noWrap/>
            <w:vAlign w:val="bottom"/>
            <w:hideMark/>
          </w:tcPr>
          <w:p w14:paraId="5FEFFF69" w14:textId="77777777" w:rsidR="00C9371A" w:rsidRPr="00CB7AFF" w:rsidRDefault="00C9371A" w:rsidP="001542A1">
            <w:pPr>
              <w:spacing w:before="100" w:beforeAutospacing="1" w:after="100" w:afterAutospacing="1"/>
              <w:ind w:firstLine="0"/>
              <w:jc w:val="center"/>
              <w:rPr>
                <w:b/>
                <w:bCs/>
                <w:sz w:val="22"/>
                <w:szCs w:val="22"/>
              </w:rPr>
            </w:pPr>
            <w:r w:rsidRPr="00CB7AFF">
              <w:rPr>
                <w:b/>
                <w:bCs/>
                <w:sz w:val="22"/>
                <w:szCs w:val="22"/>
              </w:rPr>
              <w:t>Виды</w:t>
            </w:r>
          </w:p>
        </w:tc>
        <w:tc>
          <w:tcPr>
            <w:tcW w:w="1621" w:type="dxa"/>
            <w:vMerge w:val="restart"/>
            <w:shd w:val="clear" w:color="auto" w:fill="auto"/>
            <w:vAlign w:val="center"/>
            <w:hideMark/>
          </w:tcPr>
          <w:p w14:paraId="152658C2" w14:textId="77777777" w:rsidR="00C9371A" w:rsidRPr="00CB7AFF" w:rsidRDefault="00C9371A" w:rsidP="001542A1">
            <w:pPr>
              <w:spacing w:before="100" w:beforeAutospacing="1" w:after="100" w:afterAutospacing="1"/>
              <w:ind w:firstLine="0"/>
              <w:jc w:val="center"/>
              <w:rPr>
                <w:b/>
                <w:bCs/>
                <w:sz w:val="22"/>
                <w:szCs w:val="22"/>
              </w:rPr>
            </w:pPr>
            <w:r w:rsidRPr="00CB7AFF">
              <w:rPr>
                <w:rFonts w:eastAsia="Franklin Gothic Heavy"/>
                <w:b/>
                <w:bCs/>
                <w:sz w:val="22"/>
                <w:szCs w:val="22"/>
              </w:rPr>
              <w:t>Всего</w:t>
            </w:r>
          </w:p>
        </w:tc>
      </w:tr>
      <w:tr w:rsidR="00C9371A" w:rsidRPr="00CB7AFF" w14:paraId="61DD81A7" w14:textId="77777777" w:rsidTr="000D48F3">
        <w:trPr>
          <w:jc w:val="center"/>
        </w:trPr>
        <w:tc>
          <w:tcPr>
            <w:tcW w:w="1372" w:type="dxa"/>
            <w:vMerge/>
            <w:vAlign w:val="center"/>
            <w:hideMark/>
          </w:tcPr>
          <w:p w14:paraId="3D8CB860" w14:textId="77777777" w:rsidR="00C9371A" w:rsidRPr="00CB7AFF" w:rsidRDefault="00C9371A" w:rsidP="001542A1">
            <w:pPr>
              <w:spacing w:before="100" w:beforeAutospacing="1" w:after="100" w:afterAutospacing="1"/>
              <w:ind w:firstLine="0"/>
              <w:jc w:val="left"/>
              <w:rPr>
                <w:sz w:val="22"/>
                <w:szCs w:val="22"/>
              </w:rPr>
            </w:pPr>
          </w:p>
        </w:tc>
        <w:tc>
          <w:tcPr>
            <w:tcW w:w="1316" w:type="dxa"/>
            <w:shd w:val="clear" w:color="auto" w:fill="auto"/>
            <w:noWrap/>
            <w:vAlign w:val="bottom"/>
            <w:hideMark/>
          </w:tcPr>
          <w:p w14:paraId="5A8A0E92" w14:textId="77777777" w:rsidR="00C9371A" w:rsidRPr="00CB7AFF" w:rsidRDefault="00C9371A" w:rsidP="001542A1">
            <w:pPr>
              <w:spacing w:before="100" w:beforeAutospacing="1" w:after="100" w:afterAutospacing="1"/>
              <w:ind w:firstLine="0"/>
              <w:jc w:val="center"/>
              <w:rPr>
                <w:b/>
                <w:bCs/>
                <w:sz w:val="22"/>
                <w:szCs w:val="22"/>
              </w:rPr>
            </w:pPr>
            <w:r w:rsidRPr="00CB7AFF">
              <w:rPr>
                <w:rFonts w:eastAsia="Franklin Gothic Heavy"/>
                <w:b/>
                <w:bCs/>
                <w:sz w:val="22"/>
                <w:szCs w:val="22"/>
              </w:rPr>
              <w:t>горбуша</w:t>
            </w:r>
          </w:p>
        </w:tc>
        <w:tc>
          <w:tcPr>
            <w:tcW w:w="1315" w:type="dxa"/>
            <w:shd w:val="clear" w:color="auto" w:fill="auto"/>
            <w:noWrap/>
            <w:vAlign w:val="bottom"/>
            <w:hideMark/>
          </w:tcPr>
          <w:p w14:paraId="7D5DCCC1" w14:textId="77777777" w:rsidR="00C9371A" w:rsidRPr="00CB7AFF" w:rsidRDefault="00C9371A" w:rsidP="001542A1">
            <w:pPr>
              <w:spacing w:before="100" w:beforeAutospacing="1" w:after="100" w:afterAutospacing="1"/>
              <w:ind w:firstLine="0"/>
              <w:jc w:val="center"/>
              <w:rPr>
                <w:b/>
                <w:bCs/>
                <w:sz w:val="22"/>
                <w:szCs w:val="22"/>
              </w:rPr>
            </w:pPr>
            <w:r w:rsidRPr="00CB7AFF">
              <w:rPr>
                <w:rFonts w:eastAsia="Franklin Gothic Heavy"/>
                <w:b/>
                <w:bCs/>
                <w:sz w:val="22"/>
                <w:szCs w:val="22"/>
              </w:rPr>
              <w:t>кета</w:t>
            </w:r>
          </w:p>
        </w:tc>
        <w:tc>
          <w:tcPr>
            <w:tcW w:w="1316" w:type="dxa"/>
            <w:shd w:val="clear" w:color="auto" w:fill="auto"/>
            <w:noWrap/>
            <w:vAlign w:val="bottom"/>
            <w:hideMark/>
          </w:tcPr>
          <w:p w14:paraId="12850087" w14:textId="77777777" w:rsidR="00C9371A" w:rsidRPr="00CB7AFF" w:rsidRDefault="00C9371A" w:rsidP="001542A1">
            <w:pPr>
              <w:spacing w:before="100" w:beforeAutospacing="1" w:after="100" w:afterAutospacing="1"/>
              <w:ind w:firstLine="0"/>
              <w:jc w:val="center"/>
              <w:rPr>
                <w:b/>
                <w:bCs/>
                <w:sz w:val="22"/>
                <w:szCs w:val="22"/>
              </w:rPr>
            </w:pPr>
            <w:r w:rsidRPr="00CB7AFF">
              <w:rPr>
                <w:rFonts w:eastAsia="Franklin Gothic Heavy"/>
                <w:b/>
                <w:bCs/>
                <w:sz w:val="22"/>
                <w:szCs w:val="22"/>
              </w:rPr>
              <w:t>нерка</w:t>
            </w:r>
          </w:p>
        </w:tc>
        <w:tc>
          <w:tcPr>
            <w:tcW w:w="1315" w:type="dxa"/>
            <w:shd w:val="clear" w:color="auto" w:fill="auto"/>
            <w:noWrap/>
            <w:vAlign w:val="bottom"/>
            <w:hideMark/>
          </w:tcPr>
          <w:p w14:paraId="1371EAA0" w14:textId="77777777" w:rsidR="00C9371A" w:rsidRPr="00CB7AFF" w:rsidRDefault="00C9371A" w:rsidP="001542A1">
            <w:pPr>
              <w:spacing w:before="100" w:beforeAutospacing="1" w:after="100" w:afterAutospacing="1"/>
              <w:ind w:firstLine="0"/>
              <w:jc w:val="center"/>
              <w:rPr>
                <w:b/>
                <w:bCs/>
                <w:sz w:val="22"/>
                <w:szCs w:val="22"/>
              </w:rPr>
            </w:pPr>
            <w:r w:rsidRPr="00CB7AFF">
              <w:rPr>
                <w:rFonts w:eastAsia="Franklin Gothic Heavy"/>
                <w:b/>
                <w:bCs/>
                <w:sz w:val="22"/>
                <w:szCs w:val="22"/>
              </w:rPr>
              <w:t>кижуч</w:t>
            </w:r>
          </w:p>
        </w:tc>
        <w:tc>
          <w:tcPr>
            <w:tcW w:w="1316" w:type="dxa"/>
            <w:shd w:val="clear" w:color="auto" w:fill="auto"/>
            <w:noWrap/>
            <w:vAlign w:val="bottom"/>
            <w:hideMark/>
          </w:tcPr>
          <w:p w14:paraId="1442BCB7" w14:textId="77777777" w:rsidR="00C9371A" w:rsidRPr="00CB7AFF" w:rsidRDefault="00C9371A" w:rsidP="001542A1">
            <w:pPr>
              <w:spacing w:before="100" w:beforeAutospacing="1" w:after="100" w:afterAutospacing="1"/>
              <w:ind w:firstLine="0"/>
              <w:jc w:val="center"/>
              <w:rPr>
                <w:b/>
                <w:bCs/>
                <w:sz w:val="22"/>
                <w:szCs w:val="22"/>
              </w:rPr>
            </w:pPr>
            <w:r w:rsidRPr="00CB7AFF">
              <w:rPr>
                <w:b/>
                <w:bCs/>
                <w:sz w:val="22"/>
                <w:szCs w:val="22"/>
              </w:rPr>
              <w:t>чавыча</w:t>
            </w:r>
          </w:p>
        </w:tc>
        <w:tc>
          <w:tcPr>
            <w:tcW w:w="1621" w:type="dxa"/>
            <w:vMerge/>
            <w:vAlign w:val="center"/>
            <w:hideMark/>
          </w:tcPr>
          <w:p w14:paraId="5F4E81FC" w14:textId="77777777" w:rsidR="00C9371A" w:rsidRPr="00CB7AFF" w:rsidRDefault="00C9371A" w:rsidP="001542A1">
            <w:pPr>
              <w:spacing w:before="100" w:beforeAutospacing="1" w:after="100" w:afterAutospacing="1"/>
              <w:ind w:firstLine="0"/>
              <w:jc w:val="left"/>
              <w:rPr>
                <w:sz w:val="22"/>
                <w:szCs w:val="22"/>
              </w:rPr>
            </w:pPr>
          </w:p>
        </w:tc>
      </w:tr>
      <w:tr w:rsidR="00C9371A" w:rsidRPr="00CB7AFF" w14:paraId="08793550" w14:textId="77777777" w:rsidTr="000D48F3">
        <w:trPr>
          <w:jc w:val="center"/>
        </w:trPr>
        <w:tc>
          <w:tcPr>
            <w:tcW w:w="1372" w:type="dxa"/>
            <w:shd w:val="clear" w:color="auto" w:fill="auto"/>
            <w:noWrap/>
            <w:vAlign w:val="bottom"/>
            <w:hideMark/>
          </w:tcPr>
          <w:p w14:paraId="2903A956"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2012</w:t>
            </w:r>
          </w:p>
        </w:tc>
        <w:tc>
          <w:tcPr>
            <w:tcW w:w="1316" w:type="dxa"/>
            <w:shd w:val="clear" w:color="auto" w:fill="auto"/>
            <w:noWrap/>
            <w:vAlign w:val="bottom"/>
            <w:hideMark/>
          </w:tcPr>
          <w:p w14:paraId="0C840769"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292,5</w:t>
            </w:r>
          </w:p>
        </w:tc>
        <w:tc>
          <w:tcPr>
            <w:tcW w:w="1315" w:type="dxa"/>
            <w:shd w:val="clear" w:color="auto" w:fill="auto"/>
            <w:noWrap/>
            <w:vAlign w:val="bottom"/>
            <w:hideMark/>
          </w:tcPr>
          <w:p w14:paraId="401CFF57"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92,5</w:t>
            </w:r>
          </w:p>
        </w:tc>
        <w:tc>
          <w:tcPr>
            <w:tcW w:w="1316" w:type="dxa"/>
            <w:shd w:val="clear" w:color="auto" w:fill="auto"/>
            <w:noWrap/>
            <w:vAlign w:val="bottom"/>
            <w:hideMark/>
          </w:tcPr>
          <w:p w14:paraId="337C8F4A"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44,0</w:t>
            </w:r>
          </w:p>
        </w:tc>
        <w:tc>
          <w:tcPr>
            <w:tcW w:w="1315" w:type="dxa"/>
            <w:shd w:val="clear" w:color="auto" w:fill="auto"/>
            <w:noWrap/>
            <w:vAlign w:val="bottom"/>
            <w:hideMark/>
          </w:tcPr>
          <w:p w14:paraId="4C91C5D3"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4,3</w:t>
            </w:r>
          </w:p>
        </w:tc>
        <w:tc>
          <w:tcPr>
            <w:tcW w:w="1316" w:type="dxa"/>
            <w:shd w:val="clear" w:color="auto" w:fill="auto"/>
            <w:noWrap/>
            <w:vAlign w:val="bottom"/>
            <w:hideMark/>
          </w:tcPr>
          <w:p w14:paraId="0F5F157C"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0,5</w:t>
            </w:r>
          </w:p>
        </w:tc>
        <w:tc>
          <w:tcPr>
            <w:tcW w:w="1621" w:type="dxa"/>
            <w:shd w:val="clear" w:color="auto" w:fill="auto"/>
            <w:noWrap/>
            <w:vAlign w:val="bottom"/>
            <w:hideMark/>
          </w:tcPr>
          <w:p w14:paraId="4DC7E3C1"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433,8</w:t>
            </w:r>
          </w:p>
        </w:tc>
      </w:tr>
      <w:tr w:rsidR="00C9371A" w:rsidRPr="00CB7AFF" w14:paraId="15886A80" w14:textId="77777777" w:rsidTr="000D48F3">
        <w:trPr>
          <w:jc w:val="center"/>
        </w:trPr>
        <w:tc>
          <w:tcPr>
            <w:tcW w:w="1372" w:type="dxa"/>
            <w:shd w:val="clear" w:color="auto" w:fill="auto"/>
            <w:noWrap/>
            <w:vAlign w:val="bottom"/>
            <w:hideMark/>
          </w:tcPr>
          <w:p w14:paraId="2CFEFB81"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2013</w:t>
            </w:r>
          </w:p>
        </w:tc>
        <w:tc>
          <w:tcPr>
            <w:tcW w:w="1316" w:type="dxa"/>
            <w:shd w:val="clear" w:color="auto" w:fill="auto"/>
            <w:noWrap/>
            <w:vAlign w:val="bottom"/>
            <w:hideMark/>
          </w:tcPr>
          <w:p w14:paraId="4D035B9B"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241,2</w:t>
            </w:r>
          </w:p>
        </w:tc>
        <w:tc>
          <w:tcPr>
            <w:tcW w:w="1315" w:type="dxa"/>
            <w:shd w:val="clear" w:color="auto" w:fill="auto"/>
            <w:noWrap/>
            <w:vAlign w:val="bottom"/>
            <w:hideMark/>
          </w:tcPr>
          <w:p w14:paraId="14DE17B0"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102,9</w:t>
            </w:r>
          </w:p>
        </w:tc>
        <w:tc>
          <w:tcPr>
            <w:tcW w:w="1316" w:type="dxa"/>
            <w:shd w:val="clear" w:color="auto" w:fill="auto"/>
            <w:noWrap/>
            <w:vAlign w:val="bottom"/>
            <w:hideMark/>
          </w:tcPr>
          <w:p w14:paraId="273F6E44"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50,9</w:t>
            </w:r>
          </w:p>
        </w:tc>
        <w:tc>
          <w:tcPr>
            <w:tcW w:w="1315" w:type="dxa"/>
            <w:shd w:val="clear" w:color="auto" w:fill="auto"/>
            <w:noWrap/>
            <w:vAlign w:val="bottom"/>
            <w:hideMark/>
          </w:tcPr>
          <w:p w14:paraId="4775EA70"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9,9</w:t>
            </w:r>
          </w:p>
        </w:tc>
        <w:tc>
          <w:tcPr>
            <w:tcW w:w="1316" w:type="dxa"/>
            <w:shd w:val="clear" w:color="auto" w:fill="auto"/>
            <w:noWrap/>
            <w:vAlign w:val="bottom"/>
            <w:hideMark/>
          </w:tcPr>
          <w:p w14:paraId="11AFAC52"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0,5</w:t>
            </w:r>
          </w:p>
        </w:tc>
        <w:tc>
          <w:tcPr>
            <w:tcW w:w="1621" w:type="dxa"/>
            <w:shd w:val="clear" w:color="auto" w:fill="auto"/>
            <w:noWrap/>
            <w:vAlign w:val="bottom"/>
            <w:hideMark/>
          </w:tcPr>
          <w:p w14:paraId="1B729344"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405,4</w:t>
            </w:r>
          </w:p>
        </w:tc>
      </w:tr>
      <w:tr w:rsidR="00C9371A" w:rsidRPr="00CB7AFF" w14:paraId="74DE13D8" w14:textId="77777777" w:rsidTr="000D48F3">
        <w:trPr>
          <w:jc w:val="center"/>
        </w:trPr>
        <w:tc>
          <w:tcPr>
            <w:tcW w:w="1372" w:type="dxa"/>
            <w:shd w:val="clear" w:color="auto" w:fill="auto"/>
            <w:noWrap/>
            <w:vAlign w:val="bottom"/>
            <w:hideMark/>
          </w:tcPr>
          <w:p w14:paraId="2D6A7F53"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2014</w:t>
            </w:r>
          </w:p>
        </w:tc>
        <w:tc>
          <w:tcPr>
            <w:tcW w:w="1316" w:type="dxa"/>
            <w:shd w:val="clear" w:color="auto" w:fill="auto"/>
            <w:noWrap/>
            <w:vAlign w:val="bottom"/>
            <w:hideMark/>
          </w:tcPr>
          <w:p w14:paraId="69A37049"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147,5</w:t>
            </w:r>
          </w:p>
        </w:tc>
        <w:tc>
          <w:tcPr>
            <w:tcW w:w="1315" w:type="dxa"/>
            <w:shd w:val="clear" w:color="auto" w:fill="auto"/>
            <w:noWrap/>
            <w:vAlign w:val="bottom"/>
            <w:hideMark/>
          </w:tcPr>
          <w:p w14:paraId="3E179841"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136,6</w:t>
            </w:r>
          </w:p>
        </w:tc>
        <w:tc>
          <w:tcPr>
            <w:tcW w:w="1316" w:type="dxa"/>
            <w:shd w:val="clear" w:color="auto" w:fill="auto"/>
            <w:noWrap/>
            <w:vAlign w:val="bottom"/>
            <w:hideMark/>
          </w:tcPr>
          <w:p w14:paraId="2A38D97F"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37,6</w:t>
            </w:r>
          </w:p>
        </w:tc>
        <w:tc>
          <w:tcPr>
            <w:tcW w:w="1315" w:type="dxa"/>
            <w:shd w:val="clear" w:color="auto" w:fill="auto"/>
            <w:noWrap/>
            <w:vAlign w:val="bottom"/>
            <w:hideMark/>
          </w:tcPr>
          <w:p w14:paraId="61FC957B"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14,5</w:t>
            </w:r>
          </w:p>
        </w:tc>
        <w:tc>
          <w:tcPr>
            <w:tcW w:w="1316" w:type="dxa"/>
            <w:shd w:val="clear" w:color="auto" w:fill="auto"/>
            <w:noWrap/>
            <w:vAlign w:val="bottom"/>
            <w:hideMark/>
          </w:tcPr>
          <w:p w14:paraId="31FF804D"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0,6</w:t>
            </w:r>
          </w:p>
        </w:tc>
        <w:tc>
          <w:tcPr>
            <w:tcW w:w="1621" w:type="dxa"/>
            <w:shd w:val="clear" w:color="auto" w:fill="auto"/>
            <w:noWrap/>
            <w:vAlign w:val="bottom"/>
            <w:hideMark/>
          </w:tcPr>
          <w:p w14:paraId="31E9E40A"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336,8</w:t>
            </w:r>
          </w:p>
        </w:tc>
      </w:tr>
      <w:tr w:rsidR="00C9371A" w:rsidRPr="00CB7AFF" w14:paraId="5165C6DE" w14:textId="77777777" w:rsidTr="000D48F3">
        <w:trPr>
          <w:jc w:val="center"/>
        </w:trPr>
        <w:tc>
          <w:tcPr>
            <w:tcW w:w="1372" w:type="dxa"/>
            <w:shd w:val="clear" w:color="auto" w:fill="auto"/>
            <w:noWrap/>
            <w:vAlign w:val="bottom"/>
            <w:hideMark/>
          </w:tcPr>
          <w:p w14:paraId="06AC38DD"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lastRenderedPageBreak/>
              <w:t>2015</w:t>
            </w:r>
          </w:p>
        </w:tc>
        <w:tc>
          <w:tcPr>
            <w:tcW w:w="1316" w:type="dxa"/>
            <w:shd w:val="clear" w:color="auto" w:fill="auto"/>
            <w:noWrap/>
            <w:vAlign w:val="bottom"/>
            <w:hideMark/>
          </w:tcPr>
          <w:p w14:paraId="180E1F46"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162,9</w:t>
            </w:r>
          </w:p>
        </w:tc>
        <w:tc>
          <w:tcPr>
            <w:tcW w:w="1315" w:type="dxa"/>
            <w:shd w:val="clear" w:color="auto" w:fill="auto"/>
            <w:noWrap/>
            <w:vAlign w:val="bottom"/>
            <w:hideMark/>
          </w:tcPr>
          <w:p w14:paraId="70D2819D"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137,9</w:t>
            </w:r>
          </w:p>
        </w:tc>
        <w:tc>
          <w:tcPr>
            <w:tcW w:w="1316" w:type="dxa"/>
            <w:shd w:val="clear" w:color="auto" w:fill="auto"/>
            <w:noWrap/>
            <w:vAlign w:val="bottom"/>
            <w:hideMark/>
          </w:tcPr>
          <w:p w14:paraId="56C36549"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45,3</w:t>
            </w:r>
          </w:p>
        </w:tc>
        <w:tc>
          <w:tcPr>
            <w:tcW w:w="1315" w:type="dxa"/>
            <w:shd w:val="clear" w:color="auto" w:fill="auto"/>
            <w:noWrap/>
            <w:vAlign w:val="bottom"/>
            <w:hideMark/>
          </w:tcPr>
          <w:p w14:paraId="21118819"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14,4</w:t>
            </w:r>
          </w:p>
        </w:tc>
        <w:tc>
          <w:tcPr>
            <w:tcW w:w="1316" w:type="dxa"/>
            <w:shd w:val="clear" w:color="auto" w:fill="auto"/>
            <w:noWrap/>
            <w:vAlign w:val="bottom"/>
            <w:hideMark/>
          </w:tcPr>
          <w:p w14:paraId="389EF41C"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0,6</w:t>
            </w:r>
          </w:p>
        </w:tc>
        <w:tc>
          <w:tcPr>
            <w:tcW w:w="1621" w:type="dxa"/>
            <w:shd w:val="clear" w:color="auto" w:fill="auto"/>
            <w:noWrap/>
            <w:vAlign w:val="bottom"/>
            <w:hideMark/>
          </w:tcPr>
          <w:p w14:paraId="4507A585"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361,1</w:t>
            </w:r>
          </w:p>
        </w:tc>
      </w:tr>
      <w:tr w:rsidR="00C9371A" w:rsidRPr="00CB7AFF" w14:paraId="148E3B96" w14:textId="77777777" w:rsidTr="000D48F3">
        <w:trPr>
          <w:jc w:val="center"/>
        </w:trPr>
        <w:tc>
          <w:tcPr>
            <w:tcW w:w="1372" w:type="dxa"/>
            <w:shd w:val="clear" w:color="auto" w:fill="auto"/>
            <w:noWrap/>
            <w:vAlign w:val="bottom"/>
            <w:hideMark/>
          </w:tcPr>
          <w:p w14:paraId="488B0D89"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2016</w:t>
            </w:r>
          </w:p>
        </w:tc>
        <w:tc>
          <w:tcPr>
            <w:tcW w:w="1316" w:type="dxa"/>
            <w:shd w:val="clear" w:color="auto" w:fill="auto"/>
            <w:noWrap/>
            <w:vAlign w:val="bottom"/>
            <w:hideMark/>
          </w:tcPr>
          <w:p w14:paraId="19932746"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264,8</w:t>
            </w:r>
          </w:p>
        </w:tc>
        <w:tc>
          <w:tcPr>
            <w:tcW w:w="1315" w:type="dxa"/>
            <w:shd w:val="clear" w:color="auto" w:fill="auto"/>
            <w:noWrap/>
            <w:vAlign w:val="bottom"/>
            <w:hideMark/>
          </w:tcPr>
          <w:p w14:paraId="3D566E7D"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115,9</w:t>
            </w:r>
          </w:p>
        </w:tc>
        <w:tc>
          <w:tcPr>
            <w:tcW w:w="1316" w:type="dxa"/>
            <w:shd w:val="clear" w:color="auto" w:fill="auto"/>
            <w:noWrap/>
            <w:vAlign w:val="bottom"/>
            <w:hideMark/>
          </w:tcPr>
          <w:p w14:paraId="37D984E2"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49,9</w:t>
            </w:r>
          </w:p>
        </w:tc>
        <w:tc>
          <w:tcPr>
            <w:tcW w:w="1315" w:type="dxa"/>
            <w:shd w:val="clear" w:color="auto" w:fill="auto"/>
            <w:noWrap/>
            <w:vAlign w:val="bottom"/>
            <w:hideMark/>
          </w:tcPr>
          <w:p w14:paraId="2ECB92EA"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7,0</w:t>
            </w:r>
          </w:p>
        </w:tc>
        <w:tc>
          <w:tcPr>
            <w:tcW w:w="1316" w:type="dxa"/>
            <w:shd w:val="clear" w:color="auto" w:fill="auto"/>
            <w:noWrap/>
            <w:vAlign w:val="bottom"/>
            <w:hideMark/>
          </w:tcPr>
          <w:p w14:paraId="52CFF96B"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0,8</w:t>
            </w:r>
          </w:p>
        </w:tc>
        <w:tc>
          <w:tcPr>
            <w:tcW w:w="1621" w:type="dxa"/>
            <w:shd w:val="clear" w:color="auto" w:fill="auto"/>
            <w:noWrap/>
            <w:vAlign w:val="bottom"/>
            <w:hideMark/>
          </w:tcPr>
          <w:p w14:paraId="0FA0529E"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438,4</w:t>
            </w:r>
          </w:p>
        </w:tc>
      </w:tr>
      <w:tr w:rsidR="00C9371A" w:rsidRPr="00CB7AFF" w14:paraId="106CE838" w14:textId="77777777" w:rsidTr="000D48F3">
        <w:trPr>
          <w:jc w:val="center"/>
        </w:trPr>
        <w:tc>
          <w:tcPr>
            <w:tcW w:w="1372" w:type="dxa"/>
            <w:shd w:val="clear" w:color="auto" w:fill="auto"/>
            <w:noWrap/>
            <w:vAlign w:val="bottom"/>
            <w:hideMark/>
          </w:tcPr>
          <w:p w14:paraId="2F90A835"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2017</w:t>
            </w:r>
          </w:p>
        </w:tc>
        <w:tc>
          <w:tcPr>
            <w:tcW w:w="1316" w:type="dxa"/>
            <w:shd w:val="clear" w:color="auto" w:fill="auto"/>
            <w:noWrap/>
            <w:vAlign w:val="bottom"/>
            <w:hideMark/>
          </w:tcPr>
          <w:p w14:paraId="5B91D45E"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204,5</w:t>
            </w:r>
          </w:p>
        </w:tc>
        <w:tc>
          <w:tcPr>
            <w:tcW w:w="1315" w:type="dxa"/>
            <w:shd w:val="clear" w:color="auto" w:fill="auto"/>
            <w:noWrap/>
            <w:vAlign w:val="bottom"/>
            <w:hideMark/>
          </w:tcPr>
          <w:p w14:paraId="048CEF32"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97,7</w:t>
            </w:r>
          </w:p>
        </w:tc>
        <w:tc>
          <w:tcPr>
            <w:tcW w:w="1316" w:type="dxa"/>
            <w:shd w:val="clear" w:color="auto" w:fill="auto"/>
            <w:noWrap/>
            <w:vAlign w:val="bottom"/>
            <w:hideMark/>
          </w:tcPr>
          <w:p w14:paraId="2DC10ADC"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42,1</w:t>
            </w:r>
          </w:p>
        </w:tc>
        <w:tc>
          <w:tcPr>
            <w:tcW w:w="1315" w:type="dxa"/>
            <w:shd w:val="clear" w:color="auto" w:fill="auto"/>
            <w:noWrap/>
            <w:vAlign w:val="bottom"/>
            <w:hideMark/>
          </w:tcPr>
          <w:p w14:paraId="61CA6E84"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8,4</w:t>
            </w:r>
          </w:p>
        </w:tc>
        <w:tc>
          <w:tcPr>
            <w:tcW w:w="1316" w:type="dxa"/>
            <w:shd w:val="clear" w:color="auto" w:fill="auto"/>
            <w:noWrap/>
            <w:vAlign w:val="bottom"/>
            <w:hideMark/>
          </w:tcPr>
          <w:p w14:paraId="2DFE9A91"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0,4</w:t>
            </w:r>
          </w:p>
        </w:tc>
        <w:tc>
          <w:tcPr>
            <w:tcW w:w="1621" w:type="dxa"/>
            <w:shd w:val="clear" w:color="auto" w:fill="auto"/>
            <w:noWrap/>
            <w:vAlign w:val="bottom"/>
            <w:hideMark/>
          </w:tcPr>
          <w:p w14:paraId="1B7C73A3" w14:textId="77777777" w:rsidR="00C9371A" w:rsidRPr="00CB7AFF" w:rsidRDefault="00C9371A" w:rsidP="001542A1">
            <w:pPr>
              <w:spacing w:before="100" w:beforeAutospacing="1" w:after="100" w:afterAutospacing="1"/>
              <w:ind w:firstLine="0"/>
              <w:jc w:val="center"/>
              <w:rPr>
                <w:sz w:val="22"/>
                <w:szCs w:val="22"/>
              </w:rPr>
            </w:pPr>
            <w:r w:rsidRPr="00CB7AFF">
              <w:rPr>
                <w:rFonts w:eastAsia="Franklin Gothic Heavy"/>
                <w:sz w:val="22"/>
                <w:szCs w:val="22"/>
              </w:rPr>
              <w:t>353,1</w:t>
            </w:r>
          </w:p>
        </w:tc>
      </w:tr>
      <w:tr w:rsidR="00C9371A" w:rsidRPr="00CB7AFF" w14:paraId="2F49A66C" w14:textId="77777777" w:rsidTr="000D48F3">
        <w:trPr>
          <w:jc w:val="center"/>
        </w:trPr>
        <w:tc>
          <w:tcPr>
            <w:tcW w:w="1372" w:type="dxa"/>
            <w:shd w:val="clear" w:color="auto" w:fill="auto"/>
            <w:noWrap/>
            <w:vAlign w:val="bottom"/>
          </w:tcPr>
          <w:p w14:paraId="3D156211"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2018</w:t>
            </w:r>
          </w:p>
        </w:tc>
        <w:tc>
          <w:tcPr>
            <w:tcW w:w="1316" w:type="dxa"/>
            <w:shd w:val="clear" w:color="auto" w:fill="auto"/>
            <w:noWrap/>
            <w:vAlign w:val="bottom"/>
          </w:tcPr>
          <w:p w14:paraId="78600914"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511,2</w:t>
            </w:r>
          </w:p>
        </w:tc>
        <w:tc>
          <w:tcPr>
            <w:tcW w:w="1315" w:type="dxa"/>
            <w:shd w:val="clear" w:color="auto" w:fill="auto"/>
            <w:noWrap/>
            <w:vAlign w:val="bottom"/>
          </w:tcPr>
          <w:p w14:paraId="17493B7B"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111,6</w:t>
            </w:r>
          </w:p>
        </w:tc>
        <w:tc>
          <w:tcPr>
            <w:tcW w:w="1316" w:type="dxa"/>
            <w:shd w:val="clear" w:color="auto" w:fill="auto"/>
            <w:noWrap/>
            <w:vAlign w:val="bottom"/>
          </w:tcPr>
          <w:p w14:paraId="6F7B90DB"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43,2</w:t>
            </w:r>
          </w:p>
        </w:tc>
        <w:tc>
          <w:tcPr>
            <w:tcW w:w="1315" w:type="dxa"/>
            <w:shd w:val="clear" w:color="auto" w:fill="auto"/>
            <w:noWrap/>
            <w:vAlign w:val="bottom"/>
          </w:tcPr>
          <w:p w14:paraId="72712415"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10,7</w:t>
            </w:r>
          </w:p>
        </w:tc>
        <w:tc>
          <w:tcPr>
            <w:tcW w:w="1316" w:type="dxa"/>
            <w:shd w:val="clear" w:color="auto" w:fill="auto"/>
            <w:noWrap/>
            <w:vAlign w:val="bottom"/>
          </w:tcPr>
          <w:p w14:paraId="798223A6"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0,4</w:t>
            </w:r>
          </w:p>
        </w:tc>
        <w:tc>
          <w:tcPr>
            <w:tcW w:w="1621" w:type="dxa"/>
            <w:shd w:val="clear" w:color="auto" w:fill="auto"/>
            <w:noWrap/>
            <w:vAlign w:val="bottom"/>
          </w:tcPr>
          <w:p w14:paraId="109E9869"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677,1</w:t>
            </w:r>
          </w:p>
        </w:tc>
      </w:tr>
      <w:tr w:rsidR="00C9371A" w:rsidRPr="00CB7AFF" w14:paraId="524411A8" w14:textId="77777777" w:rsidTr="000D48F3">
        <w:trPr>
          <w:jc w:val="center"/>
        </w:trPr>
        <w:tc>
          <w:tcPr>
            <w:tcW w:w="1372" w:type="dxa"/>
            <w:shd w:val="clear" w:color="auto" w:fill="auto"/>
            <w:noWrap/>
            <w:vAlign w:val="bottom"/>
          </w:tcPr>
          <w:p w14:paraId="37825281"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2019</w:t>
            </w:r>
          </w:p>
        </w:tc>
        <w:tc>
          <w:tcPr>
            <w:tcW w:w="1316" w:type="dxa"/>
            <w:shd w:val="clear" w:color="auto" w:fill="auto"/>
            <w:noWrap/>
            <w:vAlign w:val="bottom"/>
          </w:tcPr>
          <w:p w14:paraId="1DA3ED77"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330,1</w:t>
            </w:r>
          </w:p>
        </w:tc>
        <w:tc>
          <w:tcPr>
            <w:tcW w:w="1315" w:type="dxa"/>
            <w:shd w:val="clear" w:color="auto" w:fill="auto"/>
            <w:noWrap/>
            <w:vAlign w:val="bottom"/>
          </w:tcPr>
          <w:p w14:paraId="34D9B676"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112,4</w:t>
            </w:r>
          </w:p>
        </w:tc>
        <w:tc>
          <w:tcPr>
            <w:tcW w:w="1316" w:type="dxa"/>
            <w:shd w:val="clear" w:color="auto" w:fill="auto"/>
            <w:noWrap/>
            <w:vAlign w:val="bottom"/>
          </w:tcPr>
          <w:p w14:paraId="1F39AA9B"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46,7</w:t>
            </w:r>
          </w:p>
        </w:tc>
        <w:tc>
          <w:tcPr>
            <w:tcW w:w="1315" w:type="dxa"/>
            <w:shd w:val="clear" w:color="auto" w:fill="auto"/>
            <w:noWrap/>
            <w:vAlign w:val="bottom"/>
          </w:tcPr>
          <w:p w14:paraId="0252B8B4"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9,6</w:t>
            </w:r>
          </w:p>
        </w:tc>
        <w:tc>
          <w:tcPr>
            <w:tcW w:w="1316" w:type="dxa"/>
            <w:shd w:val="clear" w:color="auto" w:fill="auto"/>
            <w:noWrap/>
            <w:vAlign w:val="bottom"/>
          </w:tcPr>
          <w:p w14:paraId="3A84944D"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0,3</w:t>
            </w:r>
          </w:p>
        </w:tc>
        <w:tc>
          <w:tcPr>
            <w:tcW w:w="1621" w:type="dxa"/>
            <w:shd w:val="clear" w:color="auto" w:fill="auto"/>
            <w:noWrap/>
            <w:vAlign w:val="bottom"/>
          </w:tcPr>
          <w:p w14:paraId="0B3A2FAF"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499,1</w:t>
            </w:r>
          </w:p>
        </w:tc>
      </w:tr>
      <w:tr w:rsidR="00C9371A" w:rsidRPr="00CB7AFF" w14:paraId="6DEC20FA" w14:textId="77777777" w:rsidTr="000D48F3">
        <w:trPr>
          <w:jc w:val="center"/>
        </w:trPr>
        <w:tc>
          <w:tcPr>
            <w:tcW w:w="1372" w:type="dxa"/>
            <w:shd w:val="clear" w:color="auto" w:fill="auto"/>
            <w:noWrap/>
            <w:vAlign w:val="bottom"/>
          </w:tcPr>
          <w:p w14:paraId="18664601"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2020</w:t>
            </w:r>
          </w:p>
        </w:tc>
        <w:tc>
          <w:tcPr>
            <w:tcW w:w="1316" w:type="dxa"/>
            <w:shd w:val="clear" w:color="auto" w:fill="auto"/>
            <w:noWrap/>
            <w:vAlign w:val="bottom"/>
          </w:tcPr>
          <w:p w14:paraId="26986463"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179,4</w:t>
            </w:r>
          </w:p>
        </w:tc>
        <w:tc>
          <w:tcPr>
            <w:tcW w:w="1315" w:type="dxa"/>
            <w:shd w:val="clear" w:color="auto" w:fill="auto"/>
            <w:noWrap/>
            <w:vAlign w:val="bottom"/>
          </w:tcPr>
          <w:p w14:paraId="3F500381"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85,7</w:t>
            </w:r>
          </w:p>
        </w:tc>
        <w:tc>
          <w:tcPr>
            <w:tcW w:w="1316" w:type="dxa"/>
            <w:shd w:val="clear" w:color="auto" w:fill="auto"/>
            <w:noWrap/>
            <w:vAlign w:val="bottom"/>
          </w:tcPr>
          <w:p w14:paraId="7BA34806"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31,4</w:t>
            </w:r>
          </w:p>
        </w:tc>
        <w:tc>
          <w:tcPr>
            <w:tcW w:w="1315" w:type="dxa"/>
            <w:shd w:val="clear" w:color="auto" w:fill="auto"/>
            <w:noWrap/>
            <w:vAlign w:val="bottom"/>
          </w:tcPr>
          <w:p w14:paraId="420EF80E"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10,3</w:t>
            </w:r>
          </w:p>
        </w:tc>
        <w:tc>
          <w:tcPr>
            <w:tcW w:w="1316" w:type="dxa"/>
            <w:shd w:val="clear" w:color="auto" w:fill="auto"/>
            <w:noWrap/>
            <w:vAlign w:val="bottom"/>
          </w:tcPr>
          <w:p w14:paraId="534EFDE3"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0,3</w:t>
            </w:r>
          </w:p>
        </w:tc>
        <w:tc>
          <w:tcPr>
            <w:tcW w:w="1621" w:type="dxa"/>
            <w:shd w:val="clear" w:color="auto" w:fill="auto"/>
            <w:noWrap/>
            <w:vAlign w:val="bottom"/>
          </w:tcPr>
          <w:p w14:paraId="186ECE46" w14:textId="77777777" w:rsidR="00C9371A" w:rsidRPr="00CB7AFF" w:rsidRDefault="00C9371A" w:rsidP="001542A1">
            <w:pPr>
              <w:spacing w:before="100" w:beforeAutospacing="1" w:after="100" w:afterAutospacing="1"/>
              <w:ind w:firstLine="0"/>
              <w:jc w:val="center"/>
              <w:rPr>
                <w:rFonts w:eastAsia="Franklin Gothic Heavy"/>
                <w:sz w:val="22"/>
                <w:szCs w:val="22"/>
              </w:rPr>
            </w:pPr>
            <w:r w:rsidRPr="00CB7AFF">
              <w:rPr>
                <w:rFonts w:eastAsia="Franklin Gothic Heavy"/>
                <w:sz w:val="22"/>
                <w:szCs w:val="22"/>
              </w:rPr>
              <w:t>307,1</w:t>
            </w:r>
          </w:p>
        </w:tc>
      </w:tr>
      <w:tr w:rsidR="00A5341F" w:rsidRPr="00CB7AFF" w14:paraId="4EFD9E3C" w14:textId="77777777" w:rsidTr="000D48F3">
        <w:trPr>
          <w:jc w:val="center"/>
        </w:trPr>
        <w:tc>
          <w:tcPr>
            <w:tcW w:w="1372" w:type="dxa"/>
            <w:shd w:val="clear" w:color="auto" w:fill="auto"/>
            <w:noWrap/>
            <w:vAlign w:val="bottom"/>
          </w:tcPr>
          <w:p w14:paraId="01763877" w14:textId="7F4064E8" w:rsidR="00A5341F" w:rsidRPr="00CB7AFF" w:rsidRDefault="00A5341F" w:rsidP="001542A1">
            <w:pPr>
              <w:spacing w:before="100" w:beforeAutospacing="1" w:after="100" w:afterAutospacing="1"/>
              <w:ind w:firstLine="0"/>
              <w:jc w:val="center"/>
              <w:rPr>
                <w:rFonts w:eastAsia="Franklin Gothic Heavy"/>
                <w:sz w:val="22"/>
                <w:szCs w:val="22"/>
              </w:rPr>
            </w:pPr>
            <w:r>
              <w:rPr>
                <w:rFonts w:eastAsia="Franklin Gothic Heavy"/>
                <w:sz w:val="22"/>
                <w:szCs w:val="22"/>
              </w:rPr>
              <w:t>2021</w:t>
            </w:r>
          </w:p>
        </w:tc>
        <w:tc>
          <w:tcPr>
            <w:tcW w:w="1316" w:type="dxa"/>
            <w:shd w:val="clear" w:color="auto" w:fill="auto"/>
            <w:noWrap/>
            <w:vAlign w:val="bottom"/>
          </w:tcPr>
          <w:p w14:paraId="2F60E14F" w14:textId="6A588AFA" w:rsidR="00A5341F" w:rsidRPr="00CB7AFF" w:rsidRDefault="000D48F3" w:rsidP="001542A1">
            <w:pPr>
              <w:spacing w:before="100" w:beforeAutospacing="1" w:after="100" w:afterAutospacing="1"/>
              <w:ind w:firstLine="0"/>
              <w:jc w:val="center"/>
              <w:rPr>
                <w:rFonts w:eastAsia="Franklin Gothic Heavy"/>
                <w:sz w:val="22"/>
                <w:szCs w:val="22"/>
              </w:rPr>
            </w:pPr>
            <w:r>
              <w:rPr>
                <w:rFonts w:eastAsia="Franklin Gothic Heavy"/>
                <w:sz w:val="22"/>
                <w:szCs w:val="22"/>
              </w:rPr>
              <w:t>424,0</w:t>
            </w:r>
          </w:p>
        </w:tc>
        <w:tc>
          <w:tcPr>
            <w:tcW w:w="1315" w:type="dxa"/>
            <w:shd w:val="clear" w:color="auto" w:fill="auto"/>
            <w:noWrap/>
            <w:vAlign w:val="bottom"/>
          </w:tcPr>
          <w:p w14:paraId="32B05065" w14:textId="76C88AB4" w:rsidR="00A5341F" w:rsidRPr="00CB7AFF" w:rsidRDefault="000D48F3" w:rsidP="001542A1">
            <w:pPr>
              <w:spacing w:before="100" w:beforeAutospacing="1" w:after="100" w:afterAutospacing="1"/>
              <w:ind w:firstLine="0"/>
              <w:jc w:val="center"/>
              <w:rPr>
                <w:rFonts w:eastAsia="Franklin Gothic Heavy"/>
                <w:sz w:val="22"/>
                <w:szCs w:val="22"/>
              </w:rPr>
            </w:pPr>
            <w:r>
              <w:rPr>
                <w:rFonts w:eastAsia="Franklin Gothic Heavy"/>
                <w:sz w:val="22"/>
                <w:szCs w:val="22"/>
              </w:rPr>
              <w:t>74,9</w:t>
            </w:r>
          </w:p>
        </w:tc>
        <w:tc>
          <w:tcPr>
            <w:tcW w:w="1316" w:type="dxa"/>
            <w:shd w:val="clear" w:color="auto" w:fill="auto"/>
            <w:noWrap/>
            <w:vAlign w:val="bottom"/>
          </w:tcPr>
          <w:p w14:paraId="3108F69D" w14:textId="3A24062C" w:rsidR="00A5341F" w:rsidRPr="00CB7AFF" w:rsidRDefault="000D48F3" w:rsidP="001542A1">
            <w:pPr>
              <w:spacing w:before="100" w:beforeAutospacing="1" w:after="100" w:afterAutospacing="1"/>
              <w:ind w:firstLine="0"/>
              <w:jc w:val="center"/>
              <w:rPr>
                <w:rFonts w:eastAsia="Franklin Gothic Heavy"/>
                <w:sz w:val="22"/>
                <w:szCs w:val="22"/>
              </w:rPr>
            </w:pPr>
            <w:r>
              <w:rPr>
                <w:rFonts w:eastAsia="Franklin Gothic Heavy"/>
                <w:sz w:val="22"/>
                <w:szCs w:val="22"/>
              </w:rPr>
              <w:t>31,3</w:t>
            </w:r>
          </w:p>
        </w:tc>
        <w:tc>
          <w:tcPr>
            <w:tcW w:w="1315" w:type="dxa"/>
            <w:shd w:val="clear" w:color="auto" w:fill="auto"/>
            <w:noWrap/>
            <w:vAlign w:val="bottom"/>
          </w:tcPr>
          <w:p w14:paraId="3FE9C4E8" w14:textId="5C018E4B" w:rsidR="00A5341F" w:rsidRPr="00CB7AFF" w:rsidRDefault="000D48F3" w:rsidP="001542A1">
            <w:pPr>
              <w:spacing w:before="100" w:beforeAutospacing="1" w:after="100" w:afterAutospacing="1"/>
              <w:ind w:firstLine="0"/>
              <w:jc w:val="center"/>
              <w:rPr>
                <w:rFonts w:eastAsia="Franklin Gothic Heavy"/>
                <w:sz w:val="22"/>
                <w:szCs w:val="22"/>
              </w:rPr>
            </w:pPr>
            <w:r>
              <w:rPr>
                <w:rFonts w:eastAsia="Franklin Gothic Heavy"/>
                <w:sz w:val="22"/>
                <w:szCs w:val="22"/>
              </w:rPr>
              <w:t>8,1</w:t>
            </w:r>
          </w:p>
        </w:tc>
        <w:tc>
          <w:tcPr>
            <w:tcW w:w="1316" w:type="dxa"/>
            <w:shd w:val="clear" w:color="auto" w:fill="auto"/>
            <w:noWrap/>
            <w:vAlign w:val="bottom"/>
          </w:tcPr>
          <w:p w14:paraId="0633CEA4" w14:textId="3C2268F0" w:rsidR="00A5341F" w:rsidRPr="00CB7AFF" w:rsidRDefault="000D48F3" w:rsidP="001542A1">
            <w:pPr>
              <w:spacing w:before="100" w:beforeAutospacing="1" w:after="100" w:afterAutospacing="1"/>
              <w:ind w:firstLine="0"/>
              <w:jc w:val="center"/>
              <w:rPr>
                <w:rFonts w:eastAsia="Franklin Gothic Heavy"/>
                <w:sz w:val="22"/>
                <w:szCs w:val="22"/>
              </w:rPr>
            </w:pPr>
            <w:r>
              <w:rPr>
                <w:rFonts w:eastAsia="Franklin Gothic Heavy"/>
                <w:sz w:val="22"/>
                <w:szCs w:val="22"/>
              </w:rPr>
              <w:t>0,4</w:t>
            </w:r>
          </w:p>
        </w:tc>
        <w:tc>
          <w:tcPr>
            <w:tcW w:w="1621" w:type="dxa"/>
            <w:shd w:val="clear" w:color="auto" w:fill="auto"/>
            <w:noWrap/>
            <w:vAlign w:val="bottom"/>
          </w:tcPr>
          <w:p w14:paraId="0C8B16FD" w14:textId="43A0705F" w:rsidR="00A5341F" w:rsidRPr="00CB7AFF" w:rsidRDefault="000D48F3" w:rsidP="001542A1">
            <w:pPr>
              <w:spacing w:before="100" w:beforeAutospacing="1" w:after="100" w:afterAutospacing="1"/>
              <w:ind w:firstLine="0"/>
              <w:jc w:val="center"/>
              <w:rPr>
                <w:rFonts w:eastAsia="Franklin Gothic Heavy"/>
                <w:sz w:val="22"/>
                <w:szCs w:val="22"/>
              </w:rPr>
            </w:pPr>
            <w:r>
              <w:rPr>
                <w:rFonts w:eastAsia="Franklin Gothic Heavy"/>
                <w:sz w:val="22"/>
                <w:szCs w:val="22"/>
              </w:rPr>
              <w:t>538,8</w:t>
            </w:r>
          </w:p>
        </w:tc>
      </w:tr>
      <w:bookmarkEnd w:id="21"/>
    </w:tbl>
    <w:p w14:paraId="59182902" w14:textId="77777777" w:rsidR="00572209" w:rsidRDefault="00572209" w:rsidP="00C9371A">
      <w:pPr>
        <w:spacing w:before="120"/>
        <w:rPr>
          <w:rFonts w:eastAsia="Calibri"/>
          <w:szCs w:val="22"/>
          <w:lang w:eastAsia="en-US"/>
        </w:rPr>
      </w:pPr>
    </w:p>
    <w:p w14:paraId="16BA16F3" w14:textId="40495A40" w:rsidR="00C9371A" w:rsidRPr="00CB7AFF" w:rsidRDefault="00C9371A" w:rsidP="00C9371A">
      <w:pPr>
        <w:spacing w:before="120"/>
        <w:rPr>
          <w:rFonts w:eastAsia="Calibri"/>
          <w:szCs w:val="22"/>
          <w:lang w:eastAsia="en-US"/>
        </w:rPr>
      </w:pPr>
      <w:r w:rsidRPr="00CB7AFF">
        <w:rPr>
          <w:rFonts w:eastAsia="Calibri"/>
          <w:szCs w:val="22"/>
          <w:lang w:eastAsia="en-US"/>
        </w:rPr>
        <w:t xml:space="preserve">Согласно материалам </w:t>
      </w:r>
      <w:r w:rsidRPr="00CB7AFF">
        <w:rPr>
          <w:rFonts w:eastAsia="Calibri"/>
          <w:szCs w:val="22"/>
          <w:lang w:val="en-US" w:eastAsia="en-US"/>
        </w:rPr>
        <w:t>NPAFC</w:t>
      </w:r>
      <w:r w:rsidRPr="00CB7AFF">
        <w:rPr>
          <w:rFonts w:eastAsia="Calibri"/>
          <w:szCs w:val="22"/>
          <w:lang w:eastAsia="en-US"/>
        </w:rPr>
        <w:t>, Япония ведет морской промысел тихоокеанских лососей с 1929 г. Он активно развивался в водах Камчатки, Сахалина и Курильских островов. После Второй Мировой войны морской промысел Японией в водах СССР был прекращен, и с 1944 по 1951 гг. Япония осуществляла лишь прибрежный промысел лососей (рис. 3).</w:t>
      </w:r>
    </w:p>
    <w:p w14:paraId="7C0F3321" w14:textId="77777777" w:rsidR="00C9371A" w:rsidRPr="00CB7AFF" w:rsidRDefault="00C9371A" w:rsidP="00C9371A">
      <w:pPr>
        <w:pStyle w:val="a7"/>
        <w:rPr>
          <w:rFonts w:eastAsia="Calibri"/>
          <w:lang w:eastAsia="en-US"/>
        </w:rPr>
      </w:pPr>
      <w:r>
        <w:rPr>
          <w:rFonts w:eastAsia="Calibri"/>
        </w:rPr>
        <w:drawing>
          <wp:inline distT="0" distB="0" distL="0" distR="0" wp14:anchorId="5A34D538" wp14:editId="37E499DD">
            <wp:extent cx="5440680" cy="25603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0680" cy="2560320"/>
                    </a:xfrm>
                    <a:prstGeom prst="rect">
                      <a:avLst/>
                    </a:prstGeom>
                    <a:noFill/>
                    <a:ln>
                      <a:noFill/>
                    </a:ln>
                  </pic:spPr>
                </pic:pic>
              </a:graphicData>
            </a:graphic>
          </wp:inline>
        </w:drawing>
      </w:r>
    </w:p>
    <w:p w14:paraId="6E29646F" w14:textId="77777777" w:rsidR="00C9371A" w:rsidRPr="00CB7AFF" w:rsidRDefault="00C9371A" w:rsidP="00C9371A">
      <w:pPr>
        <w:pStyle w:val="a7"/>
        <w:rPr>
          <w:rFonts w:eastAsia="Calibri"/>
          <w:lang w:eastAsia="en-US"/>
        </w:rPr>
      </w:pPr>
      <w:r w:rsidRPr="00CB7AFF">
        <w:rPr>
          <w:rFonts w:eastAsia="Calibri"/>
          <w:lang w:eastAsia="en-US"/>
        </w:rPr>
        <w:t>Рис. 3. Динамика морского промысла Японией тихоокеанских лососей</w:t>
      </w:r>
    </w:p>
    <w:p w14:paraId="44FEE272" w14:textId="77777777" w:rsidR="00C9371A" w:rsidRPr="00CB7AFF" w:rsidRDefault="00C9371A" w:rsidP="00C9371A">
      <w:pPr>
        <w:rPr>
          <w:rFonts w:eastAsia="Calibri"/>
          <w:szCs w:val="22"/>
          <w:lang w:eastAsia="en-US"/>
        </w:rPr>
      </w:pPr>
      <w:r w:rsidRPr="00CB7AFF">
        <w:rPr>
          <w:rFonts w:eastAsia="Calibri"/>
          <w:szCs w:val="22"/>
          <w:lang w:eastAsia="en-US"/>
        </w:rPr>
        <w:t xml:space="preserve">После подписания в 1951 г. в Сан-Франциско Мирного договора, Япония </w:t>
      </w:r>
      <w:r w:rsidRPr="000E72C0">
        <w:rPr>
          <w:rFonts w:eastAsia="Calibri"/>
          <w:szCs w:val="22"/>
          <w:lang w:eastAsia="en-US"/>
        </w:rPr>
        <w:t xml:space="preserve">получила возможность осуществлять рыболовство на обширных морских акваториях [Гриценко, </w:t>
      </w:r>
      <w:proofErr w:type="spellStart"/>
      <w:r w:rsidRPr="000E72C0">
        <w:rPr>
          <w:rFonts w:eastAsia="Calibri"/>
          <w:szCs w:val="22"/>
          <w:lang w:eastAsia="en-US"/>
        </w:rPr>
        <w:t>Кловач</w:t>
      </w:r>
      <w:proofErr w:type="spellEnd"/>
      <w:r w:rsidRPr="000E72C0">
        <w:rPr>
          <w:rFonts w:eastAsia="Calibri"/>
          <w:szCs w:val="22"/>
          <w:lang w:eastAsia="en-US"/>
        </w:rPr>
        <w:t>, Рассадников, 2006]. Значительное расширение японского промысла отрицательно сказалось на общих запасах рыбы и советском рыболовстве в водах Дальнего Востока.</w:t>
      </w:r>
      <w:r w:rsidRPr="00CB7AFF">
        <w:rPr>
          <w:rFonts w:eastAsia="Calibri"/>
          <w:szCs w:val="22"/>
          <w:lang w:eastAsia="en-US"/>
        </w:rPr>
        <w:t xml:space="preserve"> Японские рыбопромышленники вели нерегулируемый и, по существу, хищнический лов в районах, прилегающих к побережью Камчатки и Курильских островов. Особенно интенсивный лов был в северо-западной части Тихого океана. Его интенсификация была связана с тем, что в 1952 г. Япония заключила рыболовную конвенцию с Канадой и США, согласно которой она «добровольно» отказалась от лова лососевых рыб, сельди и палтуса в северо-восточной части Тихого океана (район восточнее 175° </w:t>
      </w:r>
      <w:proofErr w:type="spellStart"/>
      <w:r w:rsidRPr="00CB7AFF">
        <w:rPr>
          <w:rFonts w:eastAsia="Calibri"/>
          <w:szCs w:val="22"/>
          <w:lang w:eastAsia="en-US"/>
        </w:rPr>
        <w:t>з.д</w:t>
      </w:r>
      <w:proofErr w:type="spellEnd"/>
      <w:r w:rsidRPr="00CB7AFF">
        <w:rPr>
          <w:rFonts w:eastAsia="Calibri"/>
          <w:szCs w:val="22"/>
          <w:lang w:eastAsia="en-US"/>
        </w:rPr>
        <w:t>.). В результате, чрезмерная промысловая нагрузка в северо-западной части Тихого океана создала серьезную угрозу для запасов лососевых рыб, воспроизводящихся в водных объектах СССР [Кутаков, 1988].</w:t>
      </w:r>
    </w:p>
    <w:p w14:paraId="01420D74" w14:textId="77777777" w:rsidR="00C9371A" w:rsidRPr="00CB7AFF" w:rsidRDefault="00C9371A" w:rsidP="00C9371A">
      <w:pPr>
        <w:rPr>
          <w:rFonts w:eastAsia="Calibri"/>
          <w:szCs w:val="22"/>
          <w:lang w:eastAsia="en-US"/>
        </w:rPr>
      </w:pPr>
      <w:r w:rsidRPr="00CB7AFF">
        <w:rPr>
          <w:rFonts w:eastAsia="Calibri"/>
          <w:szCs w:val="22"/>
          <w:lang w:eastAsia="en-US"/>
        </w:rPr>
        <w:lastRenderedPageBreak/>
        <w:t xml:space="preserve">Максимального развития японский промысел лососей в северо-западной части Тихого океана достиг в середине 1950-х годов. В этой связи, 11 февраля 1956 г. в газете «Правда» было опубликовано сообщение о рассмотрении Советом Министров СССР вопроса о воспроизводстве и охране дальневосточных лососей. В нем указывалось, что научные и промысловые данные показывают, что за последние годы запасы этих рыб резко снижаются, возникла угроза полного истребления дальневосточного стада лососей. «Сокращение численности дальневосточных лососей является следствием все возрастающего хищнического лова этих рыб японскими рыбопромышленниками в открытом море на путях движения рыб к местам нереста», несмотря на значительное сокращение и даже полное прекращение добычи лососей на отдельных участках советскими предприятиями. «Советские компетентные органы, — говорилось далее — не могут не рассматривать создавшееся положение как угрозу для экономики прилегающих районов СССР и как нежелание некоторых японских рыбопромышленных кругов считаться с законными интересами Советского Союза». Совет Министров СССР дал указание Министерству рыбной промышленности СССР и другим соответствующим органам подготовить предложения относительно срочных мер для прекращения хищнического лова лососей на путях их миграции. И уже 21 марта 1956 г. СССР опубликовал Постановление Совета Министров «Об охране запасов и регулировании промысла лососей в открытом море в районах, смежных с территориальными водами СССР на Дальнем Востоке», в котором объявлялось, что в период нереста лососевых ограничивался их вылов как для советских, так и иностранных организаций и граждан. В том же году между СССР и Японией была заключена конвенция о рыболовстве в открытом море северо-западной части Тихого океана. В ней подчёркивалась общая заинтересованность СССР и Японии в развитии рыболовства на рациональной основе в северо-западной части Тихого океана и взаимная ответственность за состояние запасов рыбы и других морских животных. Предполагалось расширение и координация научных исследований обеих сторон, направленных на поддержание максимальной и устойчивой </w:t>
      </w:r>
      <w:proofErr w:type="spellStart"/>
      <w:r w:rsidRPr="00CB7AFF">
        <w:rPr>
          <w:rFonts w:eastAsia="Calibri"/>
          <w:szCs w:val="22"/>
          <w:lang w:eastAsia="en-US"/>
        </w:rPr>
        <w:t>рыбопродуктивности</w:t>
      </w:r>
      <w:proofErr w:type="spellEnd"/>
      <w:r w:rsidRPr="00CB7AFF">
        <w:rPr>
          <w:rFonts w:eastAsia="Calibri"/>
          <w:szCs w:val="22"/>
          <w:lang w:eastAsia="en-US"/>
        </w:rPr>
        <w:t>. В целях сохранения и рационального использования рыбных ресурсов в северо-западной части Тихого океана предусматривался комплекс практических мер, обеспечивающих выполнение положений конвенции: создавалась советско-японская комиссия по рыболовству, которая, собираясь ежегодно, должна была определять общий годовой размер вылова обеих стран в районе регулирования, составлять, координировать и рекомендовать договаривающимся сторонам планы совместных научно-исследовательских работ. Определялся также порядок наблюдения за выполнением положений конвенции, в частности задержание и арест судов-нарушителей и т.д. [Кутаков, 1988].</w:t>
      </w:r>
    </w:p>
    <w:p w14:paraId="5E0ACD0B" w14:textId="77777777" w:rsidR="00C9371A" w:rsidRPr="00CB7AFF" w:rsidRDefault="00C9371A" w:rsidP="00C9371A">
      <w:pPr>
        <w:rPr>
          <w:rFonts w:eastAsia="Calibri"/>
          <w:szCs w:val="22"/>
          <w:lang w:eastAsia="en-US"/>
        </w:rPr>
      </w:pPr>
      <w:r w:rsidRPr="00CB7AFF">
        <w:rPr>
          <w:rFonts w:eastAsia="Calibri"/>
          <w:szCs w:val="22"/>
          <w:lang w:eastAsia="en-US"/>
        </w:rPr>
        <w:t xml:space="preserve">Положения конвенции не распространялись на территориальные воды обеих стран и не оказывали какого-либо влияния на позиции </w:t>
      </w:r>
      <w:r w:rsidRPr="00CB7AFF">
        <w:rPr>
          <w:rFonts w:eastAsia="Calibri"/>
          <w:szCs w:val="22"/>
          <w:lang w:eastAsia="en-US"/>
        </w:rPr>
        <w:lastRenderedPageBreak/>
        <w:t>договаривающихся сторон в вопросе о ширине территориальных вод. Это имело определенное значение, учитывая, что Япония не признавала 12-мильную ширину территориальных вод, установленную еще в 1927 г. советским законодательством. Конвенция вступала в силу в день вступления в силу мирного договора или в день восстановления дипломатических отношений между СССР и Японией. Подписание рыболовной конвенции явилось важным событием в истории послевоенных отношений между двумя странами [Кутаков, 1988].</w:t>
      </w:r>
    </w:p>
    <w:p w14:paraId="5F68F7C9" w14:textId="77777777" w:rsidR="00C9371A" w:rsidRPr="00CB7AFF" w:rsidRDefault="00C9371A" w:rsidP="00C9371A">
      <w:pPr>
        <w:rPr>
          <w:rFonts w:eastAsia="Calibri"/>
          <w:szCs w:val="22"/>
          <w:lang w:eastAsia="en-US"/>
        </w:rPr>
      </w:pPr>
      <w:r w:rsidRPr="00CB7AFF">
        <w:rPr>
          <w:rFonts w:eastAsia="Calibri"/>
          <w:szCs w:val="22"/>
          <w:lang w:eastAsia="en-US"/>
        </w:rPr>
        <w:t xml:space="preserve">Конвенция действовала 21 год и была денонсирована в апреле 1978 г. в связи с введением 200-мильных зон. Благодаря ей было остановлено падение запасов тихоокеанских лососей на российском Дальнем Востоке. В дальнейшем, вплоть до 1985 г., Япония добывала лососей в ИЭЗ России на основе ежегодных Протоколов о порядке и условиях ведения лососевого промысла японскими рыбаками [Гриценко, </w:t>
      </w:r>
      <w:proofErr w:type="spellStart"/>
      <w:r w:rsidRPr="00CB7AFF">
        <w:rPr>
          <w:rFonts w:eastAsia="Calibri"/>
          <w:szCs w:val="22"/>
          <w:lang w:eastAsia="en-US"/>
        </w:rPr>
        <w:t>Кловач</w:t>
      </w:r>
      <w:proofErr w:type="spellEnd"/>
      <w:r w:rsidRPr="00CB7AFF">
        <w:rPr>
          <w:rFonts w:eastAsia="Calibri"/>
          <w:szCs w:val="22"/>
          <w:lang w:eastAsia="en-US"/>
        </w:rPr>
        <w:t>, Рассадников, 2006].</w:t>
      </w:r>
    </w:p>
    <w:p w14:paraId="58F6C8B0" w14:textId="77777777" w:rsidR="00C9371A" w:rsidRPr="00CB7AFF" w:rsidRDefault="00C9371A" w:rsidP="00C9371A">
      <w:pPr>
        <w:rPr>
          <w:rFonts w:eastAsia="Calibri"/>
          <w:szCs w:val="22"/>
          <w:lang w:eastAsia="en-US"/>
        </w:rPr>
      </w:pPr>
      <w:r w:rsidRPr="00CB7AFF">
        <w:rPr>
          <w:rFonts w:eastAsia="Calibri"/>
          <w:szCs w:val="22"/>
          <w:lang w:eastAsia="en-US"/>
        </w:rPr>
        <w:t xml:space="preserve">В 1985 г. в соответствии со статьей </w:t>
      </w:r>
      <w:r w:rsidRPr="00CB7AFF">
        <w:rPr>
          <w:rFonts w:eastAsia="Calibri"/>
          <w:szCs w:val="22"/>
          <w:lang w:val="en-US" w:eastAsia="en-US"/>
        </w:rPr>
        <w:t>VII</w:t>
      </w:r>
      <w:r w:rsidRPr="00CB7AFF">
        <w:rPr>
          <w:rFonts w:eastAsia="Calibri"/>
          <w:szCs w:val="22"/>
          <w:lang w:eastAsia="en-US"/>
        </w:rPr>
        <w:t xml:space="preserve"> Соглашения между Правительством СССР и Правительством Японии от 12 мая 1985 г. «О сотрудничестве в области рыбного хозяйства» была создана Советско-Японская Смешанная Комиссия по рыбному хозяйству (ныне Российско-Японская Смешанная Комиссия). Политическое значение данного Соглашения было одним из самых существенных в российско-японских отношениях всего послевоенного периода. С подписанием указанного Соглашения промысел тихоокеанских лососей японскими рыбаками стал регламентироваться на строго научной основе.</w:t>
      </w:r>
    </w:p>
    <w:p w14:paraId="0E7DECA5" w14:textId="77777777" w:rsidR="00C9371A" w:rsidRPr="00CB7AFF" w:rsidRDefault="00C9371A" w:rsidP="00C9371A">
      <w:pPr>
        <w:rPr>
          <w:rFonts w:eastAsia="Calibri"/>
          <w:szCs w:val="22"/>
          <w:lang w:eastAsia="en-US"/>
        </w:rPr>
      </w:pPr>
      <w:r w:rsidRPr="00CB7AFF">
        <w:rPr>
          <w:rFonts w:eastAsia="Calibri"/>
          <w:szCs w:val="22"/>
          <w:lang w:eastAsia="en-US"/>
        </w:rPr>
        <w:t>С 1993 г. японские суда ведут лов тихоокеанских лососей российского происхождения только в экономических зонах Японии и России на условиях компенсации. Если ранее, когда промысел тихоокеанских лососей вели за пределами ИЭЗ России, японский флот в открытом море добывал более 100 тыс. т тихоокеанских лососей, то к 1997 г. квота вылова тихоокеанских лососей японскими судами в ИЭЗ России составила 26 тыс. т. После 1997 г. морской вылов тихоокеанских лососей японским флотом в ИЭЗ России планомерно сокращался и в 2000-е годы не превышал 11 тыс. т.</w:t>
      </w:r>
    </w:p>
    <w:p w14:paraId="0FEC2E37" w14:textId="4E4A5EEE" w:rsidR="00C9371A" w:rsidRPr="00CB7AFF" w:rsidRDefault="00C9371A" w:rsidP="00C9371A">
      <w:pPr>
        <w:rPr>
          <w:rFonts w:eastAsia="Calibri"/>
          <w:szCs w:val="22"/>
          <w:lang w:eastAsia="en-US"/>
        </w:rPr>
      </w:pPr>
      <w:r w:rsidRPr="00CB7AFF">
        <w:rPr>
          <w:rFonts w:eastAsia="Calibri"/>
          <w:szCs w:val="22"/>
          <w:lang w:eastAsia="en-US"/>
        </w:rPr>
        <w:t>Линия на снижение японского морского промысла тихоокеанских лососей, проводимая российской стороной, положительно отразилась на береговых уловах российских рыбаков. Так, после 1977 г., когда Япония стала добывать менее 50 тыс. т тихоокеанских лососей в год, уловы России неуклонно росли, изменяясь при этом независимо от японского (а с 1994 г. и российского) вылова в море.</w:t>
      </w:r>
    </w:p>
    <w:p w14:paraId="72B5B743" w14:textId="0DBFE43D" w:rsidR="00C9371A" w:rsidRPr="00CB7AFF" w:rsidRDefault="00C9371A" w:rsidP="00C9371A">
      <w:pPr>
        <w:rPr>
          <w:rFonts w:eastAsia="Calibri"/>
          <w:szCs w:val="22"/>
          <w:lang w:eastAsia="en-US"/>
        </w:rPr>
      </w:pPr>
      <w:r w:rsidRPr="00CB7AFF">
        <w:rPr>
          <w:rFonts w:eastAsia="Calibri"/>
          <w:szCs w:val="22"/>
          <w:lang w:eastAsia="en-US"/>
        </w:rPr>
        <w:t>С 1993 по 2008 г. отечественные суда в рамках выполнения научно-исследовательских работ ежегодно изымали 6–12 тыс. т тихоокеанских лососей. В декабре 2008 г. вступил в силу Федеральный закон от 03.12.2008 № 250-ФЗ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(далее — 250-ФЗ), в соответствии с которым,</w:t>
      </w:r>
      <w:r w:rsidRPr="00CB7AFF">
        <w:rPr>
          <w:rFonts w:eastAsia="Calibri"/>
          <w:szCs w:val="28"/>
          <w:lang w:eastAsia="en-US"/>
        </w:rPr>
        <w:t xml:space="preserve"> лица, добывающие (вылавливающие) анадромные виды рыб в ИЭЗ России на </w:t>
      </w:r>
      <w:r w:rsidRPr="00CB7AFF">
        <w:rPr>
          <w:rFonts w:eastAsia="Calibri"/>
          <w:szCs w:val="28"/>
          <w:lang w:eastAsia="en-US"/>
        </w:rPr>
        <w:lastRenderedPageBreak/>
        <w:t>основании договоров, заключённых с научными организациями до 31</w:t>
      </w:r>
      <w:r w:rsidR="00676837">
        <w:rPr>
          <w:rFonts w:eastAsia="Calibri"/>
          <w:szCs w:val="28"/>
          <w:lang w:eastAsia="en-US"/>
        </w:rPr>
        <w:t> </w:t>
      </w:r>
      <w:r w:rsidRPr="00CB7AFF">
        <w:rPr>
          <w:rFonts w:eastAsia="Calibri"/>
          <w:szCs w:val="28"/>
          <w:lang w:eastAsia="en-US"/>
        </w:rPr>
        <w:t>декабря 2008 г., имеют право на заключение договоров о закреплении долей квот добычи (вылова) указанных видов рыб, т.е. осуществления промышленного рыболовства тихоокеанских лососей в ИЭЗ России.</w:t>
      </w:r>
    </w:p>
    <w:p w14:paraId="404489E3" w14:textId="77777777" w:rsidR="00C9371A" w:rsidRPr="00CB7AFF" w:rsidRDefault="00C9371A" w:rsidP="00C9371A">
      <w:pPr>
        <w:rPr>
          <w:rFonts w:eastAsia="Calibri"/>
          <w:szCs w:val="28"/>
          <w:lang w:eastAsia="en-US"/>
        </w:rPr>
      </w:pPr>
      <w:r w:rsidRPr="00CB7AFF">
        <w:rPr>
          <w:rFonts w:eastAsia="Calibri"/>
          <w:szCs w:val="28"/>
          <w:lang w:eastAsia="en-US"/>
        </w:rPr>
        <w:t xml:space="preserve">В соответствии с 250-ФЗ, водные биоресурсы, добытые (выловленные) при осуществлении рыболовства в научно-исследовательских и контрольных целях, должны быть </w:t>
      </w:r>
      <w:r w:rsidRPr="00CB7AFF">
        <w:rPr>
          <w:rFonts w:eastAsia="Calibri"/>
          <w:szCs w:val="22"/>
          <w:lang w:eastAsia="en-US"/>
        </w:rPr>
        <w:t>использованы</w:t>
      </w:r>
      <w:r w:rsidRPr="00CB7AFF">
        <w:rPr>
          <w:rFonts w:eastAsia="Calibri"/>
          <w:szCs w:val="28"/>
          <w:lang w:eastAsia="en-US"/>
        </w:rPr>
        <w:t xml:space="preserve"> только для проведения работ в указанных целях и подлежат возвращению в среду обитания после проведения этих работ. В случае, если физическое состояние таких водных биоресурсов не позволяет возвратить их в среду обитания, они подлежат уничтожению.</w:t>
      </w:r>
    </w:p>
    <w:p w14:paraId="206AAFBF" w14:textId="77777777" w:rsidR="00C9371A" w:rsidRPr="00CB7AFF" w:rsidRDefault="00C9371A" w:rsidP="00C9371A">
      <w:pPr>
        <w:rPr>
          <w:rFonts w:eastAsia="Calibri"/>
          <w:szCs w:val="28"/>
          <w:lang w:eastAsia="en-US"/>
        </w:rPr>
      </w:pPr>
      <w:r w:rsidRPr="00CB7AFF">
        <w:rPr>
          <w:rFonts w:eastAsia="Calibri"/>
          <w:szCs w:val="28"/>
          <w:lang w:eastAsia="en-US"/>
        </w:rPr>
        <w:t xml:space="preserve">С учетом изменений законодательства Российской Федерации, добыча (вылов) тихоокеанских лососей по видам пользования в ИЭЗ России была в 2009 г. структурно изменена: сокращено изъятие тихоокеанских </w:t>
      </w:r>
      <w:r w:rsidRPr="00CB7AFF">
        <w:rPr>
          <w:rFonts w:eastAsia="Calibri"/>
          <w:szCs w:val="22"/>
          <w:lang w:eastAsia="en-US"/>
        </w:rPr>
        <w:t>лососей</w:t>
      </w:r>
      <w:r w:rsidRPr="00CB7AFF">
        <w:rPr>
          <w:rFonts w:eastAsia="Calibri"/>
          <w:szCs w:val="28"/>
          <w:lang w:eastAsia="en-US"/>
        </w:rPr>
        <w:t xml:space="preserve"> для целей научных исследований и допущено осуществление их промышленного рыболовства. Впервые эта схема была реализована в 2010 г.</w:t>
      </w:r>
    </w:p>
    <w:p w14:paraId="37E4E38A" w14:textId="77777777" w:rsidR="00C9371A" w:rsidRPr="00CB7AFF" w:rsidRDefault="00C9371A" w:rsidP="00C9371A">
      <w:pPr>
        <w:rPr>
          <w:rFonts w:eastAsia="Calibri"/>
          <w:szCs w:val="28"/>
          <w:lang w:eastAsia="en-US"/>
        </w:rPr>
      </w:pPr>
      <w:r w:rsidRPr="00CB7AFF">
        <w:rPr>
          <w:rFonts w:eastAsia="Calibri"/>
          <w:szCs w:val="28"/>
          <w:lang w:eastAsia="en-US"/>
        </w:rPr>
        <w:t xml:space="preserve">В 2015 г. фактический российский и японский вылов лососей в ИЭЗ России </w:t>
      </w:r>
      <w:r w:rsidRPr="00CB7AFF">
        <w:rPr>
          <w:rFonts w:eastAsia="Calibri"/>
          <w:szCs w:val="22"/>
          <w:lang w:eastAsia="en-US"/>
        </w:rPr>
        <w:t>составил</w:t>
      </w:r>
      <w:r w:rsidRPr="00CB7AFF">
        <w:rPr>
          <w:rFonts w:eastAsia="Calibri"/>
          <w:szCs w:val="28"/>
          <w:lang w:eastAsia="en-US"/>
        </w:rPr>
        <w:t xml:space="preserve"> 3,3% от берегового вылова России. В 2015 г. промысловые суда России и Японии выловили в ИЭЗ России, соответственно, 10,6 и 1,3 тыс. т лососей, в том числе российские суда добыли нерки – 6,4, кеты – 3,4 тыс. т, японские суда – 0,5 и 0,7 тыс. т, соответственно.</w:t>
      </w:r>
    </w:p>
    <w:p w14:paraId="62FA04F7" w14:textId="77777777" w:rsidR="00C9371A" w:rsidRPr="00CB7AFF" w:rsidRDefault="00C9371A" w:rsidP="00C9371A">
      <w:pPr>
        <w:rPr>
          <w:rFonts w:eastAsia="Calibri"/>
          <w:szCs w:val="28"/>
          <w:lang w:eastAsia="en-US"/>
        </w:rPr>
      </w:pPr>
      <w:r w:rsidRPr="00CB7AFF">
        <w:rPr>
          <w:szCs w:val="28"/>
        </w:rPr>
        <w:t xml:space="preserve">В соответствии с Федеральным законом от 29.06.2015 № 208-ФЗ «О внесении изменений в Федеральный закон «О рыболовстве и сохранении водных биологических ресурсов» с 01.01.2016 года запрещено применение плавных (дрифтерных) сетей при осуществлении промышленного рыболовства анадромных видов рыб во внутренних морских водах Российской Федерации, в территориальном море Российской Федерации и в ИЭЗ России. Изменения коснулись и </w:t>
      </w:r>
      <w:r w:rsidRPr="00CB7AFF">
        <w:rPr>
          <w:rFonts w:eastAsia="Calibri"/>
          <w:szCs w:val="28"/>
          <w:lang w:eastAsia="en-US"/>
        </w:rPr>
        <w:t>Правил рыболовства для Дальневосточного рыбохозяйственного бассейна, согласно которым для лова тихоокеанских лососей в ИЭЗ России на Дальнем Востоке разрешено применение тралов, в том числе близнецовых, кошельковых неводов и поверхностных ловушек.</w:t>
      </w:r>
    </w:p>
    <w:p w14:paraId="2C9D5DC9" w14:textId="77777777" w:rsidR="00C9371A" w:rsidRPr="00CB7AFF" w:rsidRDefault="00C9371A" w:rsidP="00C9371A">
      <w:pPr>
        <w:rPr>
          <w:rFonts w:eastAsia="Calibri"/>
          <w:szCs w:val="28"/>
          <w:lang w:eastAsia="en-US"/>
        </w:rPr>
      </w:pPr>
      <w:r w:rsidRPr="00CB7AFF">
        <w:rPr>
          <w:rFonts w:eastAsia="Calibri"/>
          <w:szCs w:val="28"/>
          <w:lang w:eastAsia="en-US"/>
        </w:rPr>
        <w:t xml:space="preserve">В 2016 г. российскими рыбаками впервые были применены поверхностные ловушки. </w:t>
      </w:r>
      <w:r w:rsidRPr="00CB7AFF">
        <w:rPr>
          <w:rFonts w:eastAsia="Calibri"/>
          <w:szCs w:val="22"/>
          <w:lang w:eastAsia="en-US"/>
        </w:rPr>
        <w:t>Однако</w:t>
      </w:r>
      <w:r w:rsidRPr="00CB7AFF">
        <w:rPr>
          <w:rFonts w:eastAsia="Calibri"/>
          <w:szCs w:val="28"/>
          <w:lang w:eastAsia="en-US"/>
        </w:rPr>
        <w:t>, в связи с допущенными нарушениями, промысел лососей был приостановлен уже в конце июня. Японские рыбаки пытались вести промысел кошельковым неводом, но эффективность лова оказалась очень низкой.</w:t>
      </w:r>
    </w:p>
    <w:p w14:paraId="2C23AAA2" w14:textId="14C17ABF" w:rsidR="00C9371A" w:rsidRPr="00CB7AFF" w:rsidRDefault="004D1F50" w:rsidP="00C9371A">
      <w:pPr>
        <w:rPr>
          <w:rFonts w:eastAsia="Calibri"/>
          <w:szCs w:val="28"/>
          <w:lang w:eastAsia="en-US"/>
        </w:rPr>
      </w:pPr>
      <w:r>
        <w:rPr>
          <w:rFonts w:eastAsia="Calibri"/>
          <w:szCs w:val="22"/>
          <w:lang w:eastAsia="en-US"/>
        </w:rPr>
        <w:t>П</w:t>
      </w:r>
      <w:r w:rsidR="00C9371A" w:rsidRPr="00CB7AFF">
        <w:rPr>
          <w:rFonts w:eastAsia="Calibri"/>
          <w:szCs w:val="22"/>
          <w:lang w:eastAsia="en-US"/>
        </w:rPr>
        <w:t xml:space="preserve">оскольку </w:t>
      </w:r>
      <w:r w:rsidR="00C9371A" w:rsidRPr="00CB7AFF">
        <w:rPr>
          <w:rFonts w:eastAsia="Calibri"/>
          <w:szCs w:val="28"/>
          <w:lang w:eastAsia="en-US"/>
        </w:rPr>
        <w:t xml:space="preserve">ОДУ является биологически обоснованной величиной и </w:t>
      </w:r>
      <w:r w:rsidR="00C9371A" w:rsidRPr="00CB7AFF">
        <w:rPr>
          <w:rFonts w:eastAsia="Calibri"/>
          <w:szCs w:val="22"/>
          <w:lang w:eastAsia="en-US"/>
        </w:rPr>
        <w:t>определяется</w:t>
      </w:r>
      <w:r w:rsidR="00C9371A" w:rsidRPr="00CB7AFF">
        <w:rPr>
          <w:rFonts w:eastAsia="Calibri"/>
          <w:szCs w:val="28"/>
          <w:lang w:eastAsia="en-US"/>
        </w:rPr>
        <w:t>, исходя из состояния запасов того или иного вида, а также с учетом того, что недолов анадромных видов рыб на путях миграций может быть компенсирован их дополнительным выловом в прибрежных районах промысла</w:t>
      </w:r>
      <w:r w:rsidR="00C9371A" w:rsidRPr="00CB7AFF">
        <w:rPr>
          <w:rFonts w:eastAsia="Calibri"/>
          <w:szCs w:val="22"/>
          <w:lang w:eastAsia="en-US"/>
        </w:rPr>
        <w:t>, ОДУ тихоокеанских лососей оценен, исходя из состояния запасов рыб данной группы в последнее десятилетие.</w:t>
      </w:r>
    </w:p>
    <w:p w14:paraId="4493C24B" w14:textId="77777777" w:rsidR="00572209" w:rsidRDefault="00572209" w:rsidP="00C9371A">
      <w:pPr>
        <w:pStyle w:val="2"/>
      </w:pPr>
    </w:p>
    <w:p w14:paraId="6F55CEAF" w14:textId="0EEA10D0" w:rsidR="00C9371A" w:rsidRPr="000C3F4F" w:rsidRDefault="00C9371A" w:rsidP="00C9371A">
      <w:pPr>
        <w:pStyle w:val="2"/>
      </w:pPr>
      <w:r w:rsidRPr="000C3F4F">
        <w:lastRenderedPageBreak/>
        <w:t>Обоснование рекомендуемого объема ОДУ</w:t>
      </w:r>
    </w:p>
    <w:p w14:paraId="3CFAF428" w14:textId="7102F0BD" w:rsidR="007553E0" w:rsidRDefault="00B906DF" w:rsidP="00B906DF">
      <w:pPr>
        <w:rPr>
          <w:szCs w:val="28"/>
        </w:rPr>
      </w:pPr>
      <w:r w:rsidRPr="000C3F4F">
        <w:rPr>
          <w:szCs w:val="28"/>
        </w:rPr>
        <w:t>На протяжении последних лет запасы тихоокеанских лососей</w:t>
      </w:r>
      <w:r w:rsidR="00BE2AFC" w:rsidRPr="000C3F4F">
        <w:rPr>
          <w:szCs w:val="28"/>
        </w:rPr>
        <w:t xml:space="preserve"> в 200</w:t>
      </w:r>
      <w:r w:rsidR="008A4171" w:rsidRPr="000C3F4F">
        <w:rPr>
          <w:szCs w:val="28"/>
        </w:rPr>
        <w:t> </w:t>
      </w:r>
      <w:r w:rsidR="00BE2AFC" w:rsidRPr="000C3F4F">
        <w:rPr>
          <w:szCs w:val="28"/>
        </w:rPr>
        <w:t>мильной ИЭЗ РФ</w:t>
      </w:r>
      <w:r w:rsidRPr="000C3F4F">
        <w:rPr>
          <w:szCs w:val="28"/>
        </w:rPr>
        <w:t xml:space="preserve"> оценивались </w:t>
      </w:r>
      <w:proofErr w:type="spellStart"/>
      <w:r w:rsidRPr="000C3F4F">
        <w:rPr>
          <w:szCs w:val="28"/>
        </w:rPr>
        <w:t>экспертно</w:t>
      </w:r>
      <w:proofErr w:type="spellEnd"/>
      <w:r w:rsidRPr="000C3F4F">
        <w:rPr>
          <w:szCs w:val="28"/>
        </w:rPr>
        <w:t>. Научно-исследовательские работы по учету численности</w:t>
      </w:r>
      <w:r w:rsidR="00B94244" w:rsidRPr="000C3F4F">
        <w:rPr>
          <w:szCs w:val="28"/>
        </w:rPr>
        <w:t xml:space="preserve"> и</w:t>
      </w:r>
      <w:r w:rsidRPr="000C3F4F">
        <w:rPr>
          <w:szCs w:val="28"/>
        </w:rPr>
        <w:t xml:space="preserve"> запасов тихоокеанских лососей в </w:t>
      </w:r>
      <w:r w:rsidR="00BE2AFC" w:rsidRPr="000C3F4F">
        <w:rPr>
          <w:szCs w:val="28"/>
        </w:rPr>
        <w:t xml:space="preserve">этом районе </w:t>
      </w:r>
      <w:r w:rsidRPr="000C3F4F">
        <w:rPr>
          <w:szCs w:val="28"/>
        </w:rPr>
        <w:t>не проводились, ввиду этого отсутствуют объективные оценки численности лососей</w:t>
      </w:r>
      <w:r w:rsidR="009243B6" w:rsidRPr="000C3F4F">
        <w:rPr>
          <w:szCs w:val="28"/>
        </w:rPr>
        <w:t>.</w:t>
      </w:r>
      <w:r w:rsidRPr="000C3F4F">
        <w:rPr>
          <w:szCs w:val="28"/>
        </w:rPr>
        <w:t xml:space="preserve"> </w:t>
      </w:r>
    </w:p>
    <w:p w14:paraId="06722FB2" w14:textId="5CAB8D21" w:rsidR="00B906DF" w:rsidRDefault="007553E0" w:rsidP="00B906DF">
      <w:pPr>
        <w:rPr>
          <w:szCs w:val="28"/>
        </w:rPr>
      </w:pPr>
      <w:r w:rsidRPr="00572209">
        <w:rPr>
          <w:szCs w:val="28"/>
        </w:rPr>
        <w:t>У</w:t>
      </w:r>
      <w:r w:rsidR="00B906DF" w:rsidRPr="00572209">
        <w:rPr>
          <w:szCs w:val="28"/>
        </w:rPr>
        <w:t xml:space="preserve">читывая, что в настоящее время отсутствуют научно-обоснованная оценка запасов тихоокеанских лососей в 200 мильной ИЭЗ РФ, </w:t>
      </w:r>
      <w:r w:rsidR="00260EAF" w:rsidRPr="00572209">
        <w:rPr>
          <w:szCs w:val="28"/>
        </w:rPr>
        <w:t xml:space="preserve">предлагается на 2023 год </w:t>
      </w:r>
      <w:r w:rsidR="00B906DF" w:rsidRPr="00572209">
        <w:rPr>
          <w:szCs w:val="28"/>
        </w:rPr>
        <w:t xml:space="preserve">оставить только объемы </w:t>
      </w:r>
      <w:r w:rsidR="005A6B5B" w:rsidRPr="00572209">
        <w:rPr>
          <w:szCs w:val="28"/>
        </w:rPr>
        <w:t xml:space="preserve">ОДУ </w:t>
      </w:r>
      <w:r w:rsidR="00B906DF" w:rsidRPr="00572209">
        <w:rPr>
          <w:szCs w:val="28"/>
        </w:rPr>
        <w:t xml:space="preserve">для НИР </w:t>
      </w:r>
      <w:r w:rsidR="00DC3392" w:rsidRPr="00572209">
        <w:rPr>
          <w:szCs w:val="28"/>
        </w:rPr>
        <w:t>и</w:t>
      </w:r>
      <w:r w:rsidR="005A6B5B" w:rsidRPr="00572209">
        <w:rPr>
          <w:szCs w:val="28"/>
        </w:rPr>
        <w:t xml:space="preserve"> ОДУ</w:t>
      </w:r>
      <w:r w:rsidR="00DC3392" w:rsidRPr="00572209">
        <w:rPr>
          <w:szCs w:val="28"/>
        </w:rPr>
        <w:t xml:space="preserve"> </w:t>
      </w:r>
      <w:r w:rsidR="00A73BBF" w:rsidRPr="00572209">
        <w:rPr>
          <w:szCs w:val="28"/>
        </w:rPr>
        <w:t>для</w:t>
      </w:r>
      <w:r w:rsidR="00DC3392" w:rsidRPr="00572209">
        <w:rPr>
          <w:szCs w:val="28"/>
        </w:rPr>
        <w:t xml:space="preserve"> район</w:t>
      </w:r>
      <w:r w:rsidR="005A6B5B" w:rsidRPr="00572209">
        <w:rPr>
          <w:szCs w:val="28"/>
        </w:rPr>
        <w:t>ов</w:t>
      </w:r>
      <w:r w:rsidR="00DC3392" w:rsidRPr="00572209">
        <w:rPr>
          <w:szCs w:val="28"/>
        </w:rPr>
        <w:t xml:space="preserve"> действия международных договоров Российской Федерации в области рыболовства и сохранения водных биологических ресурсов (в рамках Российско-Японской Комиссии по рыболовству)</w:t>
      </w:r>
      <w:r w:rsidR="00260EAF" w:rsidRPr="00572209">
        <w:rPr>
          <w:szCs w:val="28"/>
        </w:rPr>
        <w:t xml:space="preserve"> </w:t>
      </w:r>
      <w:r w:rsidR="005A6B5B" w:rsidRPr="00572209">
        <w:rPr>
          <w:szCs w:val="28"/>
        </w:rPr>
        <w:t>– табл. 2</w:t>
      </w:r>
      <w:r w:rsidR="00CB555C" w:rsidRPr="00572209">
        <w:rPr>
          <w:szCs w:val="28"/>
        </w:rPr>
        <w:t>.</w:t>
      </w:r>
    </w:p>
    <w:p w14:paraId="2DC6DFD0" w14:textId="7DFF8246" w:rsidR="00CB555C" w:rsidRPr="00CB7AFF" w:rsidRDefault="00260EAF" w:rsidP="00CB555C">
      <w:pPr>
        <w:ind w:firstLine="0"/>
        <w:jc w:val="right"/>
        <w:rPr>
          <w:rFonts w:eastAsia="Calibri"/>
          <w:bCs/>
          <w:sz w:val="24"/>
          <w:szCs w:val="28"/>
          <w:lang w:eastAsia="en-US"/>
        </w:rPr>
      </w:pPr>
      <w:r>
        <w:rPr>
          <w:rFonts w:eastAsia="Calibri"/>
          <w:bCs/>
          <w:sz w:val="24"/>
          <w:szCs w:val="28"/>
          <w:lang w:eastAsia="en-US"/>
        </w:rPr>
        <w:t xml:space="preserve"> </w:t>
      </w:r>
      <w:r w:rsidR="00CB555C" w:rsidRPr="00CB7AFF">
        <w:rPr>
          <w:rFonts w:eastAsia="Calibri"/>
          <w:bCs/>
          <w:sz w:val="24"/>
          <w:szCs w:val="28"/>
          <w:lang w:eastAsia="en-US"/>
        </w:rPr>
        <w:t xml:space="preserve">Таблица </w:t>
      </w:r>
      <w:r w:rsidR="00CB555C">
        <w:rPr>
          <w:rFonts w:eastAsia="Calibri"/>
          <w:bCs/>
          <w:sz w:val="24"/>
          <w:szCs w:val="28"/>
          <w:lang w:eastAsia="en-US"/>
        </w:rPr>
        <w:t>2</w:t>
      </w:r>
    </w:p>
    <w:p w14:paraId="405884E6" w14:textId="04C09A1E" w:rsidR="00A73BBF" w:rsidRPr="00A73BBF" w:rsidRDefault="00A73BBF" w:rsidP="00A73BBF">
      <w:pPr>
        <w:ind w:firstLine="0"/>
        <w:jc w:val="center"/>
        <w:rPr>
          <w:b/>
          <w:bCs/>
          <w:sz w:val="24"/>
        </w:rPr>
      </w:pPr>
      <w:r w:rsidRPr="00A73BBF">
        <w:rPr>
          <w:b/>
          <w:bCs/>
          <w:sz w:val="24"/>
        </w:rPr>
        <w:t>Объемы общего допустимого улова тихоокеанских лососей в исключительной экономической зоне Российской Федерации для осуществления рыболовства в научно-исследовательских и контрольных целях и для иностранных государств в соответствии с международными договорами Российской Федерации в области рыболовства и сохранения водных биологических ресурсов на 2023 год, (тонн)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47"/>
        <w:gridCol w:w="1062"/>
        <w:gridCol w:w="1047"/>
        <w:gridCol w:w="930"/>
        <w:gridCol w:w="849"/>
        <w:gridCol w:w="920"/>
        <w:gridCol w:w="1056"/>
      </w:tblGrid>
      <w:tr w:rsidR="00CB555C" w:rsidRPr="008A4171" w14:paraId="597D7776" w14:textId="77777777" w:rsidTr="001E08FF">
        <w:tc>
          <w:tcPr>
            <w:tcW w:w="1884" w:type="pct"/>
            <w:vMerge w:val="restart"/>
            <w:vAlign w:val="center"/>
          </w:tcPr>
          <w:p w14:paraId="67F0EDDC" w14:textId="77777777" w:rsidR="00CB555C" w:rsidRPr="008A4171" w:rsidRDefault="00CB555C" w:rsidP="001E08FF">
            <w:pPr>
              <w:ind w:firstLine="0"/>
              <w:jc w:val="center"/>
              <w:rPr>
                <w:rFonts w:eastAsia="Calibri"/>
                <w:b/>
                <w:bCs/>
                <w:sz w:val="20"/>
                <w:szCs w:val="20"/>
                <w:lang w:eastAsia="en-US"/>
              </w:rPr>
            </w:pPr>
            <w:r w:rsidRPr="008A4171">
              <w:rPr>
                <w:rFonts w:eastAsia="Calibri"/>
                <w:b/>
                <w:bCs/>
                <w:sz w:val="20"/>
                <w:szCs w:val="20"/>
                <w:lang w:eastAsia="en-US"/>
              </w:rPr>
              <w:t>Зона/подзона</w:t>
            </w:r>
          </w:p>
        </w:tc>
        <w:tc>
          <w:tcPr>
            <w:tcW w:w="2554" w:type="pct"/>
            <w:gridSpan w:val="5"/>
          </w:tcPr>
          <w:p w14:paraId="20E20896" w14:textId="77777777" w:rsidR="00CB555C" w:rsidRPr="008A4171" w:rsidRDefault="00CB555C" w:rsidP="001E08FF">
            <w:pPr>
              <w:ind w:firstLine="0"/>
              <w:jc w:val="center"/>
              <w:rPr>
                <w:rFonts w:eastAsia="Calibri"/>
                <w:b/>
                <w:bCs/>
                <w:sz w:val="20"/>
                <w:szCs w:val="20"/>
                <w:lang w:eastAsia="en-US"/>
              </w:rPr>
            </w:pPr>
            <w:r w:rsidRPr="008A4171">
              <w:rPr>
                <w:rFonts w:eastAsia="Calibri"/>
                <w:b/>
                <w:bCs/>
                <w:sz w:val="20"/>
                <w:szCs w:val="20"/>
                <w:lang w:eastAsia="en-US"/>
              </w:rPr>
              <w:t>Вид</w:t>
            </w:r>
          </w:p>
        </w:tc>
        <w:tc>
          <w:tcPr>
            <w:tcW w:w="561" w:type="pct"/>
            <w:vMerge w:val="restart"/>
            <w:vAlign w:val="center"/>
          </w:tcPr>
          <w:p w14:paraId="1A70190B" w14:textId="77777777" w:rsidR="00CB555C" w:rsidRPr="008A4171" w:rsidRDefault="00CB555C" w:rsidP="001E08FF">
            <w:pPr>
              <w:ind w:firstLine="0"/>
              <w:jc w:val="center"/>
              <w:rPr>
                <w:rFonts w:eastAsia="Calibri"/>
                <w:b/>
                <w:bCs/>
                <w:sz w:val="20"/>
                <w:szCs w:val="20"/>
                <w:lang w:eastAsia="en-US"/>
              </w:rPr>
            </w:pPr>
            <w:r w:rsidRPr="008A4171">
              <w:rPr>
                <w:rFonts w:eastAsia="Calibri"/>
                <w:b/>
                <w:bCs/>
                <w:sz w:val="20"/>
                <w:szCs w:val="20"/>
                <w:lang w:eastAsia="en-US"/>
              </w:rPr>
              <w:t>ВСЕГО</w:t>
            </w:r>
          </w:p>
        </w:tc>
      </w:tr>
      <w:tr w:rsidR="00CB555C" w:rsidRPr="008A4171" w14:paraId="05C00E44" w14:textId="77777777" w:rsidTr="001E08FF">
        <w:tc>
          <w:tcPr>
            <w:tcW w:w="1884" w:type="pct"/>
            <w:vMerge/>
          </w:tcPr>
          <w:p w14:paraId="3D5CDA1C" w14:textId="77777777" w:rsidR="00CB555C" w:rsidRPr="008A4171" w:rsidRDefault="00CB555C" w:rsidP="001E08FF">
            <w:pPr>
              <w:ind w:firstLine="0"/>
              <w:rPr>
                <w:rFonts w:eastAsia="Calibri"/>
                <w:sz w:val="20"/>
                <w:szCs w:val="20"/>
                <w:lang w:eastAsia="en-US"/>
              </w:rPr>
            </w:pPr>
          </w:p>
        </w:tc>
        <w:tc>
          <w:tcPr>
            <w:tcW w:w="564" w:type="pct"/>
          </w:tcPr>
          <w:p w14:paraId="2E2841C2" w14:textId="77777777" w:rsidR="00CB555C" w:rsidRPr="008A4171" w:rsidRDefault="00CB555C" w:rsidP="001E08FF">
            <w:pPr>
              <w:ind w:firstLine="0"/>
              <w:jc w:val="center"/>
              <w:rPr>
                <w:rFonts w:eastAsia="Calibri"/>
                <w:b/>
                <w:bCs/>
                <w:sz w:val="20"/>
                <w:szCs w:val="20"/>
                <w:lang w:eastAsia="en-US"/>
              </w:rPr>
            </w:pPr>
            <w:r w:rsidRPr="008A4171">
              <w:rPr>
                <w:rFonts w:eastAsia="Calibri"/>
                <w:b/>
                <w:bCs/>
                <w:sz w:val="20"/>
                <w:szCs w:val="20"/>
                <w:lang w:eastAsia="en-US"/>
              </w:rPr>
              <w:t>Горбуша</w:t>
            </w:r>
          </w:p>
        </w:tc>
        <w:tc>
          <w:tcPr>
            <w:tcW w:w="556" w:type="pct"/>
          </w:tcPr>
          <w:p w14:paraId="596F844B" w14:textId="77777777" w:rsidR="00CB555C" w:rsidRPr="008A4171" w:rsidRDefault="00CB555C" w:rsidP="001E08FF">
            <w:pPr>
              <w:ind w:firstLine="0"/>
              <w:jc w:val="center"/>
              <w:rPr>
                <w:rFonts w:eastAsia="Calibri"/>
                <w:b/>
                <w:bCs/>
                <w:sz w:val="20"/>
                <w:szCs w:val="20"/>
                <w:lang w:eastAsia="en-US"/>
              </w:rPr>
            </w:pPr>
            <w:r w:rsidRPr="008A4171">
              <w:rPr>
                <w:rFonts w:eastAsia="Calibri"/>
                <w:b/>
                <w:bCs/>
                <w:sz w:val="20"/>
                <w:szCs w:val="20"/>
                <w:lang w:eastAsia="en-US"/>
              </w:rPr>
              <w:t>Кета</w:t>
            </w:r>
          </w:p>
        </w:tc>
        <w:tc>
          <w:tcPr>
            <w:tcW w:w="494" w:type="pct"/>
          </w:tcPr>
          <w:p w14:paraId="263322C4" w14:textId="77777777" w:rsidR="00CB555C" w:rsidRPr="008A4171" w:rsidRDefault="00CB555C" w:rsidP="001E08FF">
            <w:pPr>
              <w:ind w:firstLine="0"/>
              <w:jc w:val="center"/>
              <w:rPr>
                <w:rFonts w:eastAsia="Calibri"/>
                <w:b/>
                <w:bCs/>
                <w:sz w:val="20"/>
                <w:szCs w:val="20"/>
                <w:lang w:eastAsia="en-US"/>
              </w:rPr>
            </w:pPr>
            <w:r w:rsidRPr="008A4171">
              <w:rPr>
                <w:rFonts w:eastAsia="Calibri"/>
                <w:b/>
                <w:bCs/>
                <w:sz w:val="20"/>
                <w:szCs w:val="20"/>
                <w:lang w:eastAsia="en-US"/>
              </w:rPr>
              <w:t>Нерка</w:t>
            </w:r>
          </w:p>
        </w:tc>
        <w:tc>
          <w:tcPr>
            <w:tcW w:w="451" w:type="pct"/>
          </w:tcPr>
          <w:p w14:paraId="12C973CD" w14:textId="77777777" w:rsidR="00CB555C" w:rsidRPr="008A4171" w:rsidRDefault="00CB555C" w:rsidP="001E08FF">
            <w:pPr>
              <w:ind w:firstLine="0"/>
              <w:jc w:val="center"/>
              <w:rPr>
                <w:rFonts w:eastAsia="Calibri"/>
                <w:b/>
                <w:bCs/>
                <w:sz w:val="20"/>
                <w:szCs w:val="20"/>
                <w:lang w:eastAsia="en-US"/>
              </w:rPr>
            </w:pPr>
            <w:r w:rsidRPr="008A4171">
              <w:rPr>
                <w:rFonts w:eastAsia="Calibri"/>
                <w:b/>
                <w:bCs/>
                <w:sz w:val="20"/>
                <w:szCs w:val="20"/>
                <w:lang w:eastAsia="en-US"/>
              </w:rPr>
              <w:t>Кижуч</w:t>
            </w:r>
          </w:p>
        </w:tc>
        <w:tc>
          <w:tcPr>
            <w:tcW w:w="489" w:type="pct"/>
          </w:tcPr>
          <w:p w14:paraId="556C3499" w14:textId="77777777" w:rsidR="00CB555C" w:rsidRPr="008A4171" w:rsidRDefault="00CB555C" w:rsidP="001E08FF">
            <w:pPr>
              <w:ind w:firstLine="0"/>
              <w:jc w:val="center"/>
              <w:rPr>
                <w:rFonts w:eastAsia="Calibri"/>
                <w:b/>
                <w:bCs/>
                <w:sz w:val="20"/>
                <w:szCs w:val="20"/>
                <w:lang w:eastAsia="en-US"/>
              </w:rPr>
            </w:pPr>
            <w:r w:rsidRPr="008A4171">
              <w:rPr>
                <w:rFonts w:eastAsia="Calibri"/>
                <w:b/>
                <w:bCs/>
                <w:sz w:val="20"/>
                <w:szCs w:val="20"/>
                <w:lang w:eastAsia="en-US"/>
              </w:rPr>
              <w:t>Чавыча</w:t>
            </w:r>
          </w:p>
        </w:tc>
        <w:tc>
          <w:tcPr>
            <w:tcW w:w="561" w:type="pct"/>
            <w:vMerge/>
          </w:tcPr>
          <w:p w14:paraId="332AA31B" w14:textId="77777777" w:rsidR="00CB555C" w:rsidRPr="008A4171" w:rsidRDefault="00CB555C" w:rsidP="001E08FF">
            <w:pPr>
              <w:ind w:firstLine="0"/>
              <w:rPr>
                <w:rFonts w:eastAsia="Calibri"/>
                <w:sz w:val="20"/>
                <w:szCs w:val="20"/>
                <w:lang w:eastAsia="en-US"/>
              </w:rPr>
            </w:pPr>
          </w:p>
        </w:tc>
      </w:tr>
      <w:tr w:rsidR="00CB555C" w:rsidRPr="008A4171" w14:paraId="715ECFD7" w14:textId="77777777" w:rsidTr="001E08FF">
        <w:tc>
          <w:tcPr>
            <w:tcW w:w="1884" w:type="pct"/>
          </w:tcPr>
          <w:p w14:paraId="33EFF6CF" w14:textId="77777777" w:rsidR="00CB555C" w:rsidRPr="008A4171" w:rsidRDefault="00CB555C" w:rsidP="001E08FF">
            <w:pPr>
              <w:ind w:firstLine="0"/>
              <w:rPr>
                <w:rFonts w:eastAsia="Calibri"/>
                <w:sz w:val="20"/>
                <w:szCs w:val="20"/>
                <w:lang w:eastAsia="en-US"/>
              </w:rPr>
            </w:pPr>
            <w:r w:rsidRPr="008A4171">
              <w:rPr>
                <w:rFonts w:eastAsia="Calibri"/>
                <w:sz w:val="20"/>
                <w:szCs w:val="20"/>
                <w:lang w:eastAsia="en-US"/>
              </w:rPr>
              <w:t>Западно-Беринговоморская зона</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7DC2E35" w14:textId="4130D639" w:rsidR="00CB555C" w:rsidRPr="008A4171" w:rsidRDefault="00CB555C" w:rsidP="001E08FF">
            <w:pPr>
              <w:ind w:firstLine="0"/>
              <w:jc w:val="center"/>
              <w:rPr>
                <w:rFonts w:eastAsia="Calibri"/>
                <w:sz w:val="20"/>
                <w:szCs w:val="20"/>
              </w:rPr>
            </w:pPr>
            <w:r>
              <w:rPr>
                <w:rFonts w:eastAsia="Calibri"/>
                <w:sz w:val="20"/>
                <w:szCs w:val="20"/>
              </w:rPr>
              <w:t>1,54</w:t>
            </w:r>
          </w:p>
        </w:tc>
        <w:tc>
          <w:tcPr>
            <w:tcW w:w="556" w:type="pct"/>
            <w:tcBorders>
              <w:top w:val="single" w:sz="4" w:space="0" w:color="auto"/>
              <w:left w:val="nil"/>
              <w:bottom w:val="single" w:sz="4" w:space="0" w:color="auto"/>
              <w:right w:val="single" w:sz="4" w:space="0" w:color="auto"/>
            </w:tcBorders>
            <w:shd w:val="clear" w:color="auto" w:fill="auto"/>
            <w:vAlign w:val="center"/>
          </w:tcPr>
          <w:p w14:paraId="74E553E9" w14:textId="53161FB4" w:rsidR="00CB555C" w:rsidRPr="008A4171" w:rsidRDefault="00CB555C" w:rsidP="001E08FF">
            <w:pPr>
              <w:ind w:firstLine="0"/>
              <w:jc w:val="center"/>
              <w:rPr>
                <w:rFonts w:eastAsia="Calibri"/>
                <w:sz w:val="20"/>
                <w:szCs w:val="20"/>
                <w:lang w:eastAsia="en-US"/>
              </w:rPr>
            </w:pPr>
            <w:r>
              <w:rPr>
                <w:rFonts w:eastAsia="Calibri"/>
                <w:sz w:val="20"/>
                <w:szCs w:val="20"/>
                <w:lang w:eastAsia="en-US"/>
              </w:rPr>
              <w:t>1,4</w:t>
            </w:r>
          </w:p>
        </w:tc>
        <w:tc>
          <w:tcPr>
            <w:tcW w:w="494" w:type="pct"/>
            <w:tcBorders>
              <w:top w:val="single" w:sz="4" w:space="0" w:color="auto"/>
              <w:left w:val="nil"/>
              <w:bottom w:val="single" w:sz="4" w:space="0" w:color="auto"/>
              <w:right w:val="single" w:sz="4" w:space="0" w:color="auto"/>
            </w:tcBorders>
            <w:shd w:val="clear" w:color="auto" w:fill="auto"/>
            <w:vAlign w:val="center"/>
          </w:tcPr>
          <w:p w14:paraId="1CD0F560" w14:textId="5B2CE99C" w:rsidR="00CB555C" w:rsidRPr="008A4171" w:rsidRDefault="00CB555C" w:rsidP="001E08FF">
            <w:pPr>
              <w:ind w:firstLine="0"/>
              <w:jc w:val="center"/>
              <w:rPr>
                <w:rFonts w:eastAsia="Calibri"/>
                <w:sz w:val="20"/>
                <w:szCs w:val="20"/>
                <w:lang w:eastAsia="en-US"/>
              </w:rPr>
            </w:pPr>
            <w:r>
              <w:rPr>
                <w:rFonts w:eastAsia="Calibri"/>
                <w:sz w:val="20"/>
                <w:szCs w:val="20"/>
                <w:lang w:eastAsia="en-US"/>
              </w:rPr>
              <w:t>1,26</w:t>
            </w:r>
          </w:p>
        </w:tc>
        <w:tc>
          <w:tcPr>
            <w:tcW w:w="451" w:type="pct"/>
            <w:tcBorders>
              <w:top w:val="single" w:sz="4" w:space="0" w:color="auto"/>
              <w:left w:val="nil"/>
              <w:bottom w:val="single" w:sz="4" w:space="0" w:color="auto"/>
              <w:right w:val="single" w:sz="4" w:space="0" w:color="auto"/>
            </w:tcBorders>
            <w:shd w:val="clear" w:color="auto" w:fill="auto"/>
            <w:vAlign w:val="center"/>
          </w:tcPr>
          <w:p w14:paraId="176234BA" w14:textId="765210DA" w:rsidR="00CB555C" w:rsidRPr="008A4171" w:rsidRDefault="00CB555C" w:rsidP="001E08FF">
            <w:pPr>
              <w:ind w:firstLine="0"/>
              <w:jc w:val="center"/>
              <w:rPr>
                <w:rFonts w:eastAsia="Calibri"/>
                <w:sz w:val="20"/>
                <w:szCs w:val="20"/>
                <w:lang w:eastAsia="en-US"/>
              </w:rPr>
            </w:pPr>
            <w:r>
              <w:rPr>
                <w:rFonts w:eastAsia="Calibri"/>
                <w:sz w:val="20"/>
                <w:szCs w:val="20"/>
                <w:lang w:eastAsia="en-US"/>
              </w:rPr>
              <w:t>0,7</w:t>
            </w:r>
          </w:p>
        </w:tc>
        <w:tc>
          <w:tcPr>
            <w:tcW w:w="489" w:type="pct"/>
            <w:tcBorders>
              <w:top w:val="single" w:sz="4" w:space="0" w:color="auto"/>
              <w:left w:val="nil"/>
              <w:bottom w:val="single" w:sz="4" w:space="0" w:color="auto"/>
              <w:right w:val="single" w:sz="4" w:space="0" w:color="auto"/>
            </w:tcBorders>
            <w:shd w:val="clear" w:color="auto" w:fill="auto"/>
            <w:vAlign w:val="center"/>
          </w:tcPr>
          <w:p w14:paraId="2D8D76AC" w14:textId="4416764B" w:rsidR="00CB555C" w:rsidRPr="008A4171" w:rsidRDefault="00CB555C" w:rsidP="001E08FF">
            <w:pPr>
              <w:ind w:firstLine="0"/>
              <w:jc w:val="center"/>
              <w:rPr>
                <w:rFonts w:eastAsia="Calibri"/>
                <w:sz w:val="20"/>
                <w:szCs w:val="20"/>
                <w:lang w:eastAsia="en-US"/>
              </w:rPr>
            </w:pPr>
            <w:r>
              <w:rPr>
                <w:rFonts w:eastAsia="Calibri"/>
                <w:sz w:val="20"/>
                <w:szCs w:val="20"/>
                <w:lang w:eastAsia="en-US"/>
              </w:rPr>
              <w:t>0,7</w:t>
            </w:r>
          </w:p>
        </w:tc>
        <w:tc>
          <w:tcPr>
            <w:tcW w:w="561" w:type="pct"/>
            <w:tcBorders>
              <w:top w:val="single" w:sz="4" w:space="0" w:color="auto"/>
              <w:left w:val="nil"/>
              <w:bottom w:val="single" w:sz="4" w:space="0" w:color="auto"/>
              <w:right w:val="single" w:sz="4" w:space="0" w:color="auto"/>
            </w:tcBorders>
            <w:shd w:val="clear" w:color="auto" w:fill="auto"/>
            <w:vAlign w:val="center"/>
          </w:tcPr>
          <w:p w14:paraId="270E79AE" w14:textId="227633E5"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5,6</w:t>
            </w:r>
          </w:p>
        </w:tc>
      </w:tr>
      <w:tr w:rsidR="00CB555C" w:rsidRPr="008A4171" w14:paraId="3F703FFA" w14:textId="77777777" w:rsidTr="001E08FF">
        <w:tc>
          <w:tcPr>
            <w:tcW w:w="1884" w:type="pct"/>
          </w:tcPr>
          <w:p w14:paraId="5D585DD2" w14:textId="77777777" w:rsidR="00CB555C" w:rsidRPr="008A4171" w:rsidRDefault="00CB555C" w:rsidP="001E08FF">
            <w:pPr>
              <w:ind w:firstLine="0"/>
              <w:rPr>
                <w:rFonts w:eastAsia="Calibri"/>
                <w:sz w:val="20"/>
                <w:szCs w:val="20"/>
                <w:lang w:eastAsia="en-US"/>
              </w:rPr>
            </w:pPr>
            <w:r w:rsidRPr="008A4171">
              <w:rPr>
                <w:rFonts w:eastAsia="Calibri"/>
                <w:sz w:val="20"/>
                <w:szCs w:val="20"/>
                <w:lang w:eastAsia="en-US"/>
              </w:rPr>
              <w:t>Карагинская подзона</w:t>
            </w:r>
          </w:p>
        </w:tc>
        <w:tc>
          <w:tcPr>
            <w:tcW w:w="564" w:type="pct"/>
            <w:tcBorders>
              <w:top w:val="nil"/>
              <w:left w:val="single" w:sz="4" w:space="0" w:color="auto"/>
              <w:bottom w:val="single" w:sz="4" w:space="0" w:color="auto"/>
              <w:right w:val="single" w:sz="4" w:space="0" w:color="auto"/>
            </w:tcBorders>
            <w:shd w:val="clear" w:color="auto" w:fill="auto"/>
            <w:vAlign w:val="center"/>
          </w:tcPr>
          <w:p w14:paraId="22141EBA" w14:textId="37E9F06D" w:rsidR="00CB555C" w:rsidRPr="008A4171" w:rsidRDefault="00CB555C" w:rsidP="001E08FF">
            <w:pPr>
              <w:ind w:firstLine="0"/>
              <w:jc w:val="center"/>
              <w:rPr>
                <w:rFonts w:eastAsia="Calibri"/>
                <w:sz w:val="20"/>
                <w:szCs w:val="20"/>
                <w:lang w:eastAsia="en-US"/>
              </w:rPr>
            </w:pPr>
            <w:r>
              <w:rPr>
                <w:rFonts w:eastAsia="Calibri"/>
                <w:sz w:val="20"/>
                <w:szCs w:val="20"/>
                <w:lang w:eastAsia="en-US"/>
              </w:rPr>
              <w:t>3,2</w:t>
            </w:r>
          </w:p>
        </w:tc>
        <w:tc>
          <w:tcPr>
            <w:tcW w:w="556" w:type="pct"/>
            <w:tcBorders>
              <w:top w:val="nil"/>
              <w:left w:val="nil"/>
              <w:bottom w:val="single" w:sz="4" w:space="0" w:color="auto"/>
              <w:right w:val="single" w:sz="4" w:space="0" w:color="auto"/>
            </w:tcBorders>
            <w:shd w:val="clear" w:color="auto" w:fill="auto"/>
            <w:vAlign w:val="center"/>
          </w:tcPr>
          <w:p w14:paraId="78EB8C73" w14:textId="49F12678" w:rsidR="00CB555C" w:rsidRPr="008A4171" w:rsidRDefault="00CB555C" w:rsidP="001E08FF">
            <w:pPr>
              <w:ind w:firstLine="0"/>
              <w:jc w:val="center"/>
              <w:rPr>
                <w:rFonts w:eastAsia="Calibri"/>
                <w:sz w:val="20"/>
                <w:szCs w:val="20"/>
                <w:lang w:eastAsia="en-US"/>
              </w:rPr>
            </w:pPr>
            <w:r>
              <w:rPr>
                <w:rFonts w:eastAsia="Calibri"/>
                <w:sz w:val="20"/>
                <w:szCs w:val="20"/>
                <w:lang w:eastAsia="en-US"/>
              </w:rPr>
              <w:t>1,6</w:t>
            </w:r>
          </w:p>
        </w:tc>
        <w:tc>
          <w:tcPr>
            <w:tcW w:w="494" w:type="pct"/>
            <w:tcBorders>
              <w:top w:val="nil"/>
              <w:left w:val="nil"/>
              <w:bottom w:val="single" w:sz="4" w:space="0" w:color="auto"/>
              <w:right w:val="single" w:sz="4" w:space="0" w:color="auto"/>
            </w:tcBorders>
            <w:shd w:val="clear" w:color="auto" w:fill="auto"/>
            <w:vAlign w:val="center"/>
          </w:tcPr>
          <w:p w14:paraId="7F781188" w14:textId="201AC78C" w:rsidR="00CB555C" w:rsidRPr="008A4171" w:rsidRDefault="00CB555C" w:rsidP="001E08FF">
            <w:pPr>
              <w:ind w:firstLine="0"/>
              <w:jc w:val="center"/>
              <w:rPr>
                <w:rFonts w:eastAsia="Calibri"/>
                <w:sz w:val="20"/>
                <w:szCs w:val="20"/>
                <w:lang w:eastAsia="en-US"/>
              </w:rPr>
            </w:pPr>
            <w:r>
              <w:rPr>
                <w:rFonts w:eastAsia="Calibri"/>
                <w:sz w:val="20"/>
                <w:szCs w:val="20"/>
                <w:lang w:eastAsia="en-US"/>
              </w:rPr>
              <w:t>1,6</w:t>
            </w:r>
          </w:p>
        </w:tc>
        <w:tc>
          <w:tcPr>
            <w:tcW w:w="451" w:type="pct"/>
            <w:tcBorders>
              <w:top w:val="nil"/>
              <w:left w:val="nil"/>
              <w:bottom w:val="single" w:sz="4" w:space="0" w:color="auto"/>
              <w:right w:val="single" w:sz="4" w:space="0" w:color="auto"/>
            </w:tcBorders>
            <w:shd w:val="clear" w:color="auto" w:fill="auto"/>
            <w:vAlign w:val="center"/>
          </w:tcPr>
          <w:p w14:paraId="3C45950E" w14:textId="387151B6" w:rsidR="00CB555C" w:rsidRPr="008A4171" w:rsidRDefault="00CB555C" w:rsidP="001E08FF">
            <w:pPr>
              <w:ind w:firstLine="0"/>
              <w:jc w:val="center"/>
              <w:rPr>
                <w:rFonts w:eastAsia="Calibri"/>
                <w:sz w:val="20"/>
                <w:szCs w:val="20"/>
                <w:lang w:eastAsia="en-US"/>
              </w:rPr>
            </w:pPr>
            <w:r>
              <w:rPr>
                <w:rFonts w:eastAsia="Calibri"/>
                <w:sz w:val="20"/>
                <w:szCs w:val="20"/>
                <w:lang w:eastAsia="en-US"/>
              </w:rPr>
              <w:t>0,7</w:t>
            </w:r>
          </w:p>
        </w:tc>
        <w:tc>
          <w:tcPr>
            <w:tcW w:w="489" w:type="pct"/>
            <w:tcBorders>
              <w:top w:val="nil"/>
              <w:left w:val="nil"/>
              <w:bottom w:val="single" w:sz="4" w:space="0" w:color="auto"/>
              <w:right w:val="single" w:sz="4" w:space="0" w:color="auto"/>
            </w:tcBorders>
            <w:shd w:val="clear" w:color="auto" w:fill="auto"/>
            <w:vAlign w:val="center"/>
          </w:tcPr>
          <w:p w14:paraId="5473FD4C" w14:textId="081888D6" w:rsidR="00CB555C" w:rsidRPr="008A4171" w:rsidRDefault="00CB555C" w:rsidP="001E08FF">
            <w:pPr>
              <w:ind w:firstLine="0"/>
              <w:jc w:val="center"/>
              <w:rPr>
                <w:rFonts w:eastAsia="Calibri"/>
                <w:sz w:val="20"/>
                <w:szCs w:val="20"/>
                <w:lang w:eastAsia="en-US"/>
              </w:rPr>
            </w:pPr>
            <w:r>
              <w:rPr>
                <w:rFonts w:eastAsia="Calibri"/>
                <w:sz w:val="20"/>
                <w:szCs w:val="20"/>
                <w:lang w:eastAsia="en-US"/>
              </w:rPr>
              <w:t>0,8</w:t>
            </w:r>
          </w:p>
        </w:tc>
        <w:tc>
          <w:tcPr>
            <w:tcW w:w="561" w:type="pct"/>
            <w:tcBorders>
              <w:top w:val="nil"/>
              <w:left w:val="nil"/>
              <w:bottom w:val="single" w:sz="4" w:space="0" w:color="auto"/>
              <w:right w:val="single" w:sz="4" w:space="0" w:color="auto"/>
            </w:tcBorders>
            <w:shd w:val="clear" w:color="auto" w:fill="auto"/>
            <w:vAlign w:val="center"/>
          </w:tcPr>
          <w:p w14:paraId="00C923D5" w14:textId="4D6FE974"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7,9</w:t>
            </w:r>
          </w:p>
        </w:tc>
      </w:tr>
      <w:tr w:rsidR="00CB555C" w:rsidRPr="008A4171" w14:paraId="3FBB0590" w14:textId="77777777" w:rsidTr="001E08FF">
        <w:tc>
          <w:tcPr>
            <w:tcW w:w="1884" w:type="pct"/>
          </w:tcPr>
          <w:p w14:paraId="505329FE" w14:textId="77777777" w:rsidR="00CB555C" w:rsidRPr="008A4171" w:rsidRDefault="00CB555C" w:rsidP="001E08FF">
            <w:pPr>
              <w:ind w:firstLine="0"/>
              <w:rPr>
                <w:rFonts w:eastAsia="Calibri"/>
                <w:sz w:val="20"/>
                <w:szCs w:val="20"/>
                <w:lang w:eastAsia="en-US"/>
              </w:rPr>
            </w:pPr>
            <w:proofErr w:type="spellStart"/>
            <w:r w:rsidRPr="008A4171">
              <w:rPr>
                <w:rFonts w:eastAsia="Calibri"/>
                <w:sz w:val="20"/>
                <w:szCs w:val="20"/>
                <w:lang w:eastAsia="en-US"/>
              </w:rPr>
              <w:t>Петропавловско</w:t>
            </w:r>
            <w:proofErr w:type="spellEnd"/>
            <w:r w:rsidRPr="008A4171">
              <w:rPr>
                <w:rFonts w:eastAsia="Calibri"/>
                <w:sz w:val="20"/>
                <w:szCs w:val="20"/>
                <w:lang w:eastAsia="en-US"/>
              </w:rPr>
              <w:t>-Командорская подзона</w:t>
            </w:r>
          </w:p>
        </w:tc>
        <w:tc>
          <w:tcPr>
            <w:tcW w:w="564" w:type="pct"/>
            <w:tcBorders>
              <w:top w:val="nil"/>
              <w:left w:val="single" w:sz="4" w:space="0" w:color="auto"/>
              <w:bottom w:val="single" w:sz="4" w:space="0" w:color="auto"/>
              <w:right w:val="single" w:sz="4" w:space="0" w:color="auto"/>
            </w:tcBorders>
            <w:shd w:val="clear" w:color="auto" w:fill="auto"/>
            <w:vAlign w:val="center"/>
          </w:tcPr>
          <w:p w14:paraId="217EE837" w14:textId="13912483" w:rsidR="00CB555C" w:rsidRPr="008A4171" w:rsidRDefault="00CB555C" w:rsidP="001E08FF">
            <w:pPr>
              <w:ind w:firstLine="0"/>
              <w:jc w:val="center"/>
              <w:rPr>
                <w:rFonts w:eastAsia="Calibri"/>
                <w:sz w:val="20"/>
                <w:szCs w:val="20"/>
                <w:lang w:eastAsia="en-US"/>
              </w:rPr>
            </w:pPr>
            <w:r>
              <w:rPr>
                <w:rFonts w:eastAsia="Calibri"/>
                <w:sz w:val="20"/>
                <w:szCs w:val="20"/>
                <w:lang w:eastAsia="en-US"/>
              </w:rPr>
              <w:t>5,5</w:t>
            </w:r>
          </w:p>
        </w:tc>
        <w:tc>
          <w:tcPr>
            <w:tcW w:w="556" w:type="pct"/>
            <w:tcBorders>
              <w:top w:val="nil"/>
              <w:left w:val="nil"/>
              <w:bottom w:val="single" w:sz="4" w:space="0" w:color="auto"/>
              <w:right w:val="single" w:sz="4" w:space="0" w:color="auto"/>
            </w:tcBorders>
            <w:shd w:val="clear" w:color="auto" w:fill="auto"/>
            <w:vAlign w:val="center"/>
          </w:tcPr>
          <w:p w14:paraId="1C9F51E3" w14:textId="633BE18C" w:rsidR="00CB555C" w:rsidRPr="008A4171" w:rsidRDefault="00CB555C" w:rsidP="001E08FF">
            <w:pPr>
              <w:ind w:firstLine="0"/>
              <w:jc w:val="center"/>
              <w:rPr>
                <w:rFonts w:eastAsia="Calibri"/>
                <w:sz w:val="20"/>
                <w:szCs w:val="20"/>
                <w:lang w:eastAsia="en-US"/>
              </w:rPr>
            </w:pPr>
            <w:r>
              <w:rPr>
                <w:rFonts w:eastAsia="Calibri"/>
                <w:sz w:val="20"/>
                <w:szCs w:val="20"/>
                <w:lang w:eastAsia="en-US"/>
              </w:rPr>
              <w:t>4,0</w:t>
            </w:r>
          </w:p>
        </w:tc>
        <w:tc>
          <w:tcPr>
            <w:tcW w:w="494" w:type="pct"/>
            <w:tcBorders>
              <w:top w:val="nil"/>
              <w:left w:val="nil"/>
              <w:bottom w:val="single" w:sz="4" w:space="0" w:color="auto"/>
              <w:right w:val="single" w:sz="4" w:space="0" w:color="auto"/>
            </w:tcBorders>
            <w:shd w:val="clear" w:color="auto" w:fill="auto"/>
            <w:vAlign w:val="center"/>
          </w:tcPr>
          <w:p w14:paraId="27152504" w14:textId="72FA3302" w:rsidR="00CB555C" w:rsidRPr="008A4171" w:rsidRDefault="00CB555C" w:rsidP="001E08FF">
            <w:pPr>
              <w:ind w:firstLine="0"/>
              <w:jc w:val="center"/>
              <w:rPr>
                <w:rFonts w:eastAsia="Calibri"/>
                <w:sz w:val="20"/>
                <w:szCs w:val="20"/>
                <w:lang w:eastAsia="en-US"/>
              </w:rPr>
            </w:pPr>
            <w:r>
              <w:rPr>
                <w:rFonts w:eastAsia="Calibri"/>
                <w:sz w:val="20"/>
                <w:szCs w:val="20"/>
                <w:lang w:eastAsia="en-US"/>
              </w:rPr>
              <w:t>3,3</w:t>
            </w:r>
          </w:p>
        </w:tc>
        <w:tc>
          <w:tcPr>
            <w:tcW w:w="451" w:type="pct"/>
            <w:tcBorders>
              <w:top w:val="nil"/>
              <w:left w:val="nil"/>
              <w:bottom w:val="single" w:sz="4" w:space="0" w:color="auto"/>
              <w:right w:val="single" w:sz="4" w:space="0" w:color="auto"/>
            </w:tcBorders>
            <w:shd w:val="clear" w:color="auto" w:fill="auto"/>
            <w:vAlign w:val="center"/>
          </w:tcPr>
          <w:p w14:paraId="7139E317" w14:textId="3C47556C" w:rsidR="00CB555C" w:rsidRPr="008A4171" w:rsidRDefault="00CB555C" w:rsidP="001E08FF">
            <w:pPr>
              <w:ind w:firstLine="0"/>
              <w:jc w:val="center"/>
              <w:rPr>
                <w:rFonts w:eastAsia="Calibri"/>
                <w:sz w:val="20"/>
                <w:szCs w:val="20"/>
                <w:lang w:eastAsia="en-US"/>
              </w:rPr>
            </w:pPr>
            <w:r>
              <w:rPr>
                <w:rFonts w:eastAsia="Calibri"/>
                <w:sz w:val="20"/>
                <w:szCs w:val="20"/>
                <w:lang w:eastAsia="en-US"/>
              </w:rPr>
              <w:t>1,1</w:t>
            </w:r>
          </w:p>
        </w:tc>
        <w:tc>
          <w:tcPr>
            <w:tcW w:w="489" w:type="pct"/>
            <w:tcBorders>
              <w:top w:val="nil"/>
              <w:left w:val="nil"/>
              <w:bottom w:val="single" w:sz="4" w:space="0" w:color="auto"/>
              <w:right w:val="single" w:sz="4" w:space="0" w:color="auto"/>
            </w:tcBorders>
            <w:shd w:val="clear" w:color="auto" w:fill="auto"/>
            <w:vAlign w:val="center"/>
          </w:tcPr>
          <w:p w14:paraId="54C9E4FC" w14:textId="59681B9B" w:rsidR="00CB555C" w:rsidRPr="008A4171" w:rsidRDefault="00CB555C" w:rsidP="001E08FF">
            <w:pPr>
              <w:ind w:firstLine="0"/>
              <w:jc w:val="center"/>
              <w:rPr>
                <w:rFonts w:eastAsia="Calibri"/>
                <w:sz w:val="20"/>
                <w:szCs w:val="20"/>
                <w:lang w:eastAsia="en-US"/>
              </w:rPr>
            </w:pPr>
            <w:r>
              <w:rPr>
                <w:rFonts w:eastAsia="Calibri"/>
                <w:sz w:val="20"/>
                <w:szCs w:val="20"/>
                <w:lang w:eastAsia="en-US"/>
              </w:rPr>
              <w:t>1,1</w:t>
            </w:r>
          </w:p>
        </w:tc>
        <w:tc>
          <w:tcPr>
            <w:tcW w:w="561" w:type="pct"/>
            <w:tcBorders>
              <w:top w:val="nil"/>
              <w:left w:val="nil"/>
              <w:bottom w:val="single" w:sz="4" w:space="0" w:color="auto"/>
              <w:right w:val="single" w:sz="4" w:space="0" w:color="auto"/>
            </w:tcBorders>
            <w:shd w:val="clear" w:color="auto" w:fill="auto"/>
            <w:vAlign w:val="center"/>
          </w:tcPr>
          <w:p w14:paraId="60628CA8" w14:textId="1012B7C0"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15,0</w:t>
            </w:r>
          </w:p>
        </w:tc>
      </w:tr>
      <w:tr w:rsidR="00CB555C" w:rsidRPr="008A4171" w14:paraId="2922D779" w14:textId="77777777" w:rsidTr="001E08FF">
        <w:tc>
          <w:tcPr>
            <w:tcW w:w="1884" w:type="pct"/>
          </w:tcPr>
          <w:p w14:paraId="04D13ACF" w14:textId="77777777" w:rsidR="00CB555C" w:rsidRPr="008A4171" w:rsidRDefault="00CB555C" w:rsidP="001E08FF">
            <w:pPr>
              <w:ind w:firstLine="0"/>
              <w:rPr>
                <w:rFonts w:eastAsia="Calibri"/>
                <w:sz w:val="20"/>
                <w:szCs w:val="20"/>
                <w:lang w:eastAsia="en-US"/>
              </w:rPr>
            </w:pPr>
            <w:r w:rsidRPr="008A4171">
              <w:rPr>
                <w:rFonts w:eastAsia="Calibri"/>
                <w:sz w:val="20"/>
                <w:szCs w:val="20"/>
                <w:lang w:eastAsia="en-US"/>
              </w:rPr>
              <w:t>Северо-Курильская зона</w:t>
            </w:r>
          </w:p>
        </w:tc>
        <w:tc>
          <w:tcPr>
            <w:tcW w:w="564" w:type="pct"/>
            <w:tcBorders>
              <w:top w:val="nil"/>
              <w:left w:val="single" w:sz="4" w:space="0" w:color="auto"/>
              <w:bottom w:val="single" w:sz="4" w:space="0" w:color="auto"/>
              <w:right w:val="single" w:sz="4" w:space="0" w:color="auto"/>
            </w:tcBorders>
            <w:shd w:val="clear" w:color="auto" w:fill="auto"/>
            <w:vAlign w:val="center"/>
          </w:tcPr>
          <w:p w14:paraId="69C9D457" w14:textId="0A6690BD" w:rsidR="00CB555C" w:rsidRPr="008A4171" w:rsidRDefault="00CB555C" w:rsidP="001E08FF">
            <w:pPr>
              <w:ind w:firstLine="0"/>
              <w:jc w:val="center"/>
              <w:rPr>
                <w:rFonts w:eastAsia="Calibri"/>
                <w:sz w:val="20"/>
                <w:szCs w:val="20"/>
                <w:lang w:eastAsia="en-US"/>
              </w:rPr>
            </w:pPr>
            <w:r>
              <w:rPr>
                <w:rFonts w:eastAsia="Calibri"/>
                <w:sz w:val="20"/>
                <w:szCs w:val="20"/>
                <w:lang w:eastAsia="en-US"/>
              </w:rPr>
              <w:t>6,3</w:t>
            </w:r>
          </w:p>
        </w:tc>
        <w:tc>
          <w:tcPr>
            <w:tcW w:w="556" w:type="pct"/>
            <w:tcBorders>
              <w:top w:val="nil"/>
              <w:left w:val="nil"/>
              <w:bottom w:val="single" w:sz="4" w:space="0" w:color="auto"/>
              <w:right w:val="single" w:sz="4" w:space="0" w:color="auto"/>
            </w:tcBorders>
            <w:shd w:val="clear" w:color="auto" w:fill="auto"/>
            <w:vAlign w:val="center"/>
          </w:tcPr>
          <w:p w14:paraId="7EE3EFD5" w14:textId="1E586965" w:rsidR="00CB555C" w:rsidRPr="008A4171" w:rsidRDefault="00CB555C" w:rsidP="001E08FF">
            <w:pPr>
              <w:ind w:firstLine="0"/>
              <w:jc w:val="center"/>
              <w:rPr>
                <w:rFonts w:eastAsia="Calibri"/>
                <w:sz w:val="20"/>
                <w:szCs w:val="20"/>
                <w:lang w:eastAsia="en-US"/>
              </w:rPr>
            </w:pPr>
            <w:r>
              <w:rPr>
                <w:rFonts w:eastAsia="Calibri"/>
                <w:sz w:val="20"/>
                <w:szCs w:val="20"/>
                <w:lang w:eastAsia="en-US"/>
              </w:rPr>
              <w:t>6,2</w:t>
            </w:r>
          </w:p>
        </w:tc>
        <w:tc>
          <w:tcPr>
            <w:tcW w:w="494" w:type="pct"/>
            <w:tcBorders>
              <w:top w:val="nil"/>
              <w:left w:val="nil"/>
              <w:bottom w:val="single" w:sz="4" w:space="0" w:color="auto"/>
              <w:right w:val="single" w:sz="4" w:space="0" w:color="auto"/>
            </w:tcBorders>
            <w:shd w:val="clear" w:color="auto" w:fill="auto"/>
            <w:vAlign w:val="center"/>
          </w:tcPr>
          <w:p w14:paraId="0974C39B" w14:textId="24F88FC0" w:rsidR="00CB555C" w:rsidRPr="008A4171" w:rsidRDefault="00CB555C" w:rsidP="001E08FF">
            <w:pPr>
              <w:ind w:firstLine="0"/>
              <w:jc w:val="center"/>
              <w:rPr>
                <w:rFonts w:eastAsia="Calibri"/>
                <w:sz w:val="20"/>
                <w:szCs w:val="20"/>
                <w:lang w:eastAsia="en-US"/>
              </w:rPr>
            </w:pPr>
            <w:r>
              <w:rPr>
                <w:rFonts w:eastAsia="Calibri"/>
                <w:sz w:val="20"/>
                <w:szCs w:val="20"/>
                <w:lang w:eastAsia="en-US"/>
              </w:rPr>
              <w:t>2,0</w:t>
            </w:r>
          </w:p>
        </w:tc>
        <w:tc>
          <w:tcPr>
            <w:tcW w:w="451" w:type="pct"/>
            <w:tcBorders>
              <w:top w:val="nil"/>
              <w:left w:val="nil"/>
              <w:bottom w:val="single" w:sz="4" w:space="0" w:color="auto"/>
              <w:right w:val="single" w:sz="4" w:space="0" w:color="auto"/>
            </w:tcBorders>
            <w:shd w:val="clear" w:color="auto" w:fill="auto"/>
            <w:vAlign w:val="center"/>
          </w:tcPr>
          <w:p w14:paraId="5F80C349" w14:textId="0DBF8712" w:rsidR="00CB555C" w:rsidRPr="008A4171" w:rsidRDefault="00CB555C" w:rsidP="001E08FF">
            <w:pPr>
              <w:ind w:firstLine="0"/>
              <w:jc w:val="center"/>
              <w:rPr>
                <w:rFonts w:eastAsia="Calibri"/>
                <w:sz w:val="20"/>
                <w:szCs w:val="20"/>
                <w:lang w:eastAsia="en-US"/>
              </w:rPr>
            </w:pPr>
            <w:r>
              <w:rPr>
                <w:rFonts w:eastAsia="Calibri"/>
                <w:sz w:val="20"/>
                <w:szCs w:val="20"/>
                <w:lang w:eastAsia="en-US"/>
              </w:rPr>
              <w:t>0,1</w:t>
            </w:r>
          </w:p>
        </w:tc>
        <w:tc>
          <w:tcPr>
            <w:tcW w:w="489" w:type="pct"/>
            <w:tcBorders>
              <w:top w:val="nil"/>
              <w:left w:val="nil"/>
              <w:bottom w:val="single" w:sz="4" w:space="0" w:color="auto"/>
              <w:right w:val="single" w:sz="4" w:space="0" w:color="auto"/>
            </w:tcBorders>
            <w:shd w:val="clear" w:color="auto" w:fill="auto"/>
            <w:vAlign w:val="center"/>
          </w:tcPr>
          <w:p w14:paraId="69D0A747" w14:textId="392C3023" w:rsidR="00CB555C" w:rsidRPr="008A4171" w:rsidRDefault="00CB555C" w:rsidP="001E08FF">
            <w:pPr>
              <w:ind w:firstLine="0"/>
              <w:jc w:val="center"/>
              <w:rPr>
                <w:rFonts w:eastAsia="Calibri"/>
                <w:sz w:val="20"/>
                <w:szCs w:val="20"/>
                <w:lang w:eastAsia="en-US"/>
              </w:rPr>
            </w:pPr>
            <w:r>
              <w:rPr>
                <w:rFonts w:eastAsia="Calibri"/>
                <w:sz w:val="20"/>
                <w:szCs w:val="20"/>
                <w:lang w:eastAsia="en-US"/>
              </w:rPr>
              <w:t>0,2</w:t>
            </w:r>
          </w:p>
        </w:tc>
        <w:tc>
          <w:tcPr>
            <w:tcW w:w="561" w:type="pct"/>
            <w:tcBorders>
              <w:top w:val="nil"/>
              <w:left w:val="nil"/>
              <w:bottom w:val="single" w:sz="4" w:space="0" w:color="auto"/>
              <w:right w:val="single" w:sz="4" w:space="0" w:color="auto"/>
            </w:tcBorders>
            <w:shd w:val="clear" w:color="auto" w:fill="auto"/>
            <w:vAlign w:val="center"/>
          </w:tcPr>
          <w:p w14:paraId="04AE2DE2" w14:textId="0DF7CA49"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14,8</w:t>
            </w:r>
          </w:p>
        </w:tc>
      </w:tr>
      <w:tr w:rsidR="00CB555C" w:rsidRPr="008A4171" w14:paraId="7E7BFC4B" w14:textId="77777777" w:rsidTr="001E08FF">
        <w:tc>
          <w:tcPr>
            <w:tcW w:w="1884" w:type="pct"/>
          </w:tcPr>
          <w:p w14:paraId="38B1026B" w14:textId="749A0868" w:rsidR="00CB555C" w:rsidRPr="008A4171" w:rsidRDefault="00CB555C" w:rsidP="001E08FF">
            <w:pPr>
              <w:ind w:firstLine="0"/>
              <w:rPr>
                <w:rFonts w:eastAsia="Calibri"/>
                <w:sz w:val="20"/>
                <w:szCs w:val="20"/>
                <w:lang w:eastAsia="en-US"/>
              </w:rPr>
            </w:pPr>
            <w:r w:rsidRPr="008A4171">
              <w:rPr>
                <w:rFonts w:eastAsia="Calibri"/>
                <w:sz w:val="20"/>
                <w:szCs w:val="20"/>
                <w:lang w:eastAsia="en-US"/>
              </w:rPr>
              <w:t>Южно-Курильская зона</w:t>
            </w:r>
            <w:r w:rsidR="00A73BBF">
              <w:rPr>
                <w:rFonts w:eastAsia="Calibri"/>
                <w:sz w:val="20"/>
                <w:szCs w:val="20"/>
                <w:lang w:eastAsia="en-US"/>
              </w:rPr>
              <w:t>*</w:t>
            </w:r>
          </w:p>
        </w:tc>
        <w:tc>
          <w:tcPr>
            <w:tcW w:w="564" w:type="pct"/>
            <w:tcBorders>
              <w:top w:val="nil"/>
              <w:left w:val="single" w:sz="4" w:space="0" w:color="auto"/>
              <w:bottom w:val="single" w:sz="4" w:space="0" w:color="auto"/>
              <w:right w:val="single" w:sz="4" w:space="0" w:color="auto"/>
            </w:tcBorders>
            <w:shd w:val="clear" w:color="auto" w:fill="auto"/>
            <w:vAlign w:val="center"/>
          </w:tcPr>
          <w:p w14:paraId="79B684F4" w14:textId="0C22DCDC" w:rsidR="00CB555C" w:rsidRPr="008A4171" w:rsidRDefault="00CB555C" w:rsidP="001E08FF">
            <w:pPr>
              <w:ind w:firstLine="0"/>
              <w:jc w:val="center"/>
              <w:rPr>
                <w:rFonts w:eastAsia="Calibri"/>
                <w:sz w:val="20"/>
                <w:szCs w:val="20"/>
                <w:lang w:eastAsia="en-US"/>
              </w:rPr>
            </w:pPr>
            <w:r>
              <w:rPr>
                <w:rFonts w:eastAsia="Calibri"/>
                <w:sz w:val="20"/>
                <w:szCs w:val="20"/>
                <w:lang w:eastAsia="en-US"/>
              </w:rPr>
              <w:t>107,4</w:t>
            </w:r>
          </w:p>
        </w:tc>
        <w:tc>
          <w:tcPr>
            <w:tcW w:w="556" w:type="pct"/>
            <w:tcBorders>
              <w:top w:val="nil"/>
              <w:left w:val="nil"/>
              <w:bottom w:val="single" w:sz="4" w:space="0" w:color="auto"/>
              <w:right w:val="single" w:sz="4" w:space="0" w:color="auto"/>
            </w:tcBorders>
            <w:shd w:val="clear" w:color="auto" w:fill="auto"/>
            <w:vAlign w:val="center"/>
          </w:tcPr>
          <w:p w14:paraId="6A178CC8" w14:textId="474F0C5A" w:rsidR="00CB555C" w:rsidRPr="008A4171" w:rsidRDefault="00CB555C" w:rsidP="001E08FF">
            <w:pPr>
              <w:ind w:firstLine="0"/>
              <w:jc w:val="center"/>
              <w:rPr>
                <w:rFonts w:eastAsia="Calibri"/>
                <w:sz w:val="20"/>
                <w:szCs w:val="20"/>
                <w:lang w:eastAsia="en-US"/>
              </w:rPr>
            </w:pPr>
            <w:r>
              <w:rPr>
                <w:rFonts w:eastAsia="Calibri"/>
                <w:sz w:val="20"/>
                <w:szCs w:val="20"/>
                <w:lang w:eastAsia="en-US"/>
              </w:rPr>
              <w:t>24,1</w:t>
            </w:r>
          </w:p>
        </w:tc>
        <w:tc>
          <w:tcPr>
            <w:tcW w:w="494" w:type="pct"/>
            <w:tcBorders>
              <w:top w:val="nil"/>
              <w:left w:val="nil"/>
              <w:bottom w:val="single" w:sz="4" w:space="0" w:color="auto"/>
              <w:right w:val="single" w:sz="4" w:space="0" w:color="auto"/>
            </w:tcBorders>
            <w:shd w:val="clear" w:color="auto" w:fill="auto"/>
            <w:vAlign w:val="center"/>
          </w:tcPr>
          <w:p w14:paraId="2480D682" w14:textId="3EAD4050" w:rsidR="00CB555C" w:rsidRPr="008A4171" w:rsidRDefault="00CB555C" w:rsidP="001E08FF">
            <w:pPr>
              <w:ind w:firstLine="0"/>
              <w:jc w:val="center"/>
              <w:rPr>
                <w:rFonts w:eastAsia="Calibri"/>
                <w:sz w:val="20"/>
                <w:szCs w:val="20"/>
                <w:lang w:eastAsia="en-US"/>
              </w:rPr>
            </w:pPr>
            <w:r>
              <w:rPr>
                <w:rFonts w:eastAsia="Calibri"/>
                <w:sz w:val="20"/>
                <w:szCs w:val="20"/>
                <w:lang w:eastAsia="en-US"/>
              </w:rPr>
              <w:t>10,3</w:t>
            </w:r>
          </w:p>
        </w:tc>
        <w:tc>
          <w:tcPr>
            <w:tcW w:w="451" w:type="pct"/>
            <w:tcBorders>
              <w:top w:val="nil"/>
              <w:left w:val="nil"/>
              <w:bottom w:val="single" w:sz="4" w:space="0" w:color="auto"/>
              <w:right w:val="single" w:sz="4" w:space="0" w:color="auto"/>
            </w:tcBorders>
            <w:shd w:val="clear" w:color="auto" w:fill="auto"/>
            <w:vAlign w:val="center"/>
          </w:tcPr>
          <w:p w14:paraId="7DB20ABF" w14:textId="0DE06008" w:rsidR="00CB555C" w:rsidRPr="008A4171" w:rsidRDefault="00CB555C" w:rsidP="001E08FF">
            <w:pPr>
              <w:ind w:firstLine="0"/>
              <w:jc w:val="center"/>
              <w:rPr>
                <w:rFonts w:eastAsia="Calibri"/>
                <w:sz w:val="20"/>
                <w:szCs w:val="20"/>
                <w:lang w:eastAsia="en-US"/>
              </w:rPr>
            </w:pPr>
            <w:r>
              <w:rPr>
                <w:rFonts w:eastAsia="Calibri"/>
                <w:sz w:val="20"/>
                <w:szCs w:val="20"/>
                <w:lang w:eastAsia="en-US"/>
              </w:rPr>
              <w:t>3,8</w:t>
            </w:r>
          </w:p>
        </w:tc>
        <w:tc>
          <w:tcPr>
            <w:tcW w:w="489" w:type="pct"/>
            <w:tcBorders>
              <w:top w:val="nil"/>
              <w:left w:val="nil"/>
              <w:bottom w:val="single" w:sz="4" w:space="0" w:color="auto"/>
              <w:right w:val="single" w:sz="4" w:space="0" w:color="auto"/>
            </w:tcBorders>
            <w:shd w:val="clear" w:color="auto" w:fill="auto"/>
            <w:vAlign w:val="center"/>
          </w:tcPr>
          <w:p w14:paraId="32533334" w14:textId="4E9F7B6E" w:rsidR="00CB555C" w:rsidRPr="008A4171" w:rsidRDefault="00CB555C" w:rsidP="001E08FF">
            <w:pPr>
              <w:ind w:firstLine="0"/>
              <w:jc w:val="center"/>
              <w:rPr>
                <w:rFonts w:eastAsia="Calibri"/>
                <w:sz w:val="20"/>
                <w:szCs w:val="20"/>
                <w:lang w:eastAsia="en-US"/>
              </w:rPr>
            </w:pPr>
            <w:r>
              <w:rPr>
                <w:rFonts w:eastAsia="Calibri"/>
                <w:sz w:val="20"/>
                <w:szCs w:val="20"/>
                <w:lang w:eastAsia="en-US"/>
              </w:rPr>
              <w:t>2,56</w:t>
            </w:r>
          </w:p>
        </w:tc>
        <w:tc>
          <w:tcPr>
            <w:tcW w:w="561" w:type="pct"/>
            <w:tcBorders>
              <w:top w:val="nil"/>
              <w:left w:val="nil"/>
              <w:bottom w:val="single" w:sz="4" w:space="0" w:color="auto"/>
              <w:right w:val="single" w:sz="4" w:space="0" w:color="auto"/>
            </w:tcBorders>
            <w:shd w:val="clear" w:color="auto" w:fill="auto"/>
            <w:vAlign w:val="center"/>
          </w:tcPr>
          <w:p w14:paraId="3CE0286F" w14:textId="45E7A8E6"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148,16</w:t>
            </w:r>
          </w:p>
        </w:tc>
      </w:tr>
      <w:tr w:rsidR="00CB555C" w:rsidRPr="008A4171" w14:paraId="6B879533" w14:textId="77777777" w:rsidTr="001E08FF">
        <w:tc>
          <w:tcPr>
            <w:tcW w:w="1884" w:type="pct"/>
          </w:tcPr>
          <w:p w14:paraId="758ABE82" w14:textId="77777777" w:rsidR="00CB555C" w:rsidRPr="008A4171" w:rsidRDefault="00CB555C" w:rsidP="001E08FF">
            <w:pPr>
              <w:ind w:firstLine="0"/>
              <w:rPr>
                <w:rFonts w:eastAsia="Calibri"/>
                <w:sz w:val="20"/>
                <w:szCs w:val="20"/>
                <w:lang w:eastAsia="en-US"/>
              </w:rPr>
            </w:pPr>
            <w:r w:rsidRPr="008A4171">
              <w:rPr>
                <w:rFonts w:eastAsia="Calibri"/>
                <w:sz w:val="20"/>
                <w:szCs w:val="20"/>
                <w:lang w:eastAsia="en-US"/>
              </w:rPr>
              <w:t>Северо-</w:t>
            </w:r>
            <w:proofErr w:type="spellStart"/>
            <w:r w:rsidRPr="008A4171">
              <w:rPr>
                <w:rFonts w:eastAsia="Calibri"/>
                <w:sz w:val="20"/>
                <w:szCs w:val="20"/>
                <w:lang w:eastAsia="en-US"/>
              </w:rPr>
              <w:t>Охотоморская</w:t>
            </w:r>
            <w:proofErr w:type="spellEnd"/>
            <w:r w:rsidRPr="008A4171">
              <w:rPr>
                <w:rFonts w:eastAsia="Calibri"/>
                <w:sz w:val="20"/>
                <w:szCs w:val="20"/>
                <w:lang w:eastAsia="en-US"/>
              </w:rPr>
              <w:t xml:space="preserve"> подзона</w:t>
            </w:r>
          </w:p>
        </w:tc>
        <w:tc>
          <w:tcPr>
            <w:tcW w:w="564" w:type="pct"/>
            <w:tcBorders>
              <w:top w:val="nil"/>
              <w:left w:val="single" w:sz="4" w:space="0" w:color="auto"/>
              <w:bottom w:val="single" w:sz="4" w:space="0" w:color="auto"/>
              <w:right w:val="single" w:sz="4" w:space="0" w:color="auto"/>
            </w:tcBorders>
            <w:shd w:val="clear" w:color="auto" w:fill="auto"/>
            <w:vAlign w:val="center"/>
          </w:tcPr>
          <w:p w14:paraId="66BB6567" w14:textId="3B219F20" w:rsidR="00CB555C" w:rsidRPr="008A4171" w:rsidRDefault="00CB555C" w:rsidP="001E08FF">
            <w:pPr>
              <w:ind w:firstLine="0"/>
              <w:jc w:val="center"/>
              <w:rPr>
                <w:rFonts w:eastAsia="Calibri"/>
                <w:sz w:val="20"/>
                <w:szCs w:val="20"/>
                <w:lang w:eastAsia="en-US"/>
              </w:rPr>
            </w:pPr>
            <w:r>
              <w:rPr>
                <w:rFonts w:eastAsia="Calibri"/>
                <w:sz w:val="20"/>
                <w:szCs w:val="20"/>
                <w:lang w:eastAsia="en-US"/>
              </w:rPr>
              <w:t>2,7</w:t>
            </w:r>
          </w:p>
        </w:tc>
        <w:tc>
          <w:tcPr>
            <w:tcW w:w="556" w:type="pct"/>
            <w:tcBorders>
              <w:top w:val="nil"/>
              <w:left w:val="nil"/>
              <w:bottom w:val="single" w:sz="4" w:space="0" w:color="auto"/>
              <w:right w:val="single" w:sz="4" w:space="0" w:color="auto"/>
            </w:tcBorders>
            <w:shd w:val="clear" w:color="auto" w:fill="auto"/>
            <w:vAlign w:val="center"/>
          </w:tcPr>
          <w:p w14:paraId="3E2E1B13" w14:textId="0D37BDA9" w:rsidR="00CB555C" w:rsidRPr="008A4171" w:rsidRDefault="00CB555C" w:rsidP="001E08FF">
            <w:pPr>
              <w:ind w:firstLine="0"/>
              <w:jc w:val="center"/>
              <w:rPr>
                <w:rFonts w:eastAsia="Calibri"/>
                <w:sz w:val="20"/>
                <w:szCs w:val="20"/>
                <w:lang w:eastAsia="en-US"/>
              </w:rPr>
            </w:pPr>
            <w:r>
              <w:rPr>
                <w:rFonts w:eastAsia="Calibri"/>
                <w:sz w:val="20"/>
                <w:szCs w:val="20"/>
                <w:lang w:eastAsia="en-US"/>
              </w:rPr>
              <w:t>2,7</w:t>
            </w:r>
          </w:p>
        </w:tc>
        <w:tc>
          <w:tcPr>
            <w:tcW w:w="494" w:type="pct"/>
            <w:tcBorders>
              <w:top w:val="nil"/>
              <w:left w:val="nil"/>
              <w:bottom w:val="single" w:sz="4" w:space="0" w:color="auto"/>
              <w:right w:val="single" w:sz="4" w:space="0" w:color="auto"/>
            </w:tcBorders>
            <w:shd w:val="clear" w:color="auto" w:fill="auto"/>
            <w:vAlign w:val="center"/>
          </w:tcPr>
          <w:p w14:paraId="09D18F02" w14:textId="4D1A06A4" w:rsidR="00CB555C" w:rsidRPr="008A4171" w:rsidRDefault="00CB555C" w:rsidP="001E08FF">
            <w:pPr>
              <w:ind w:firstLine="0"/>
              <w:jc w:val="center"/>
              <w:rPr>
                <w:rFonts w:eastAsia="Calibri"/>
                <w:sz w:val="20"/>
                <w:szCs w:val="20"/>
                <w:lang w:eastAsia="en-US"/>
              </w:rPr>
            </w:pPr>
            <w:r>
              <w:rPr>
                <w:rFonts w:eastAsia="Calibri"/>
                <w:sz w:val="20"/>
                <w:szCs w:val="20"/>
                <w:lang w:eastAsia="en-US"/>
              </w:rPr>
              <w:t>1,36</w:t>
            </w:r>
          </w:p>
        </w:tc>
        <w:tc>
          <w:tcPr>
            <w:tcW w:w="451" w:type="pct"/>
            <w:tcBorders>
              <w:top w:val="nil"/>
              <w:left w:val="nil"/>
              <w:bottom w:val="single" w:sz="4" w:space="0" w:color="auto"/>
              <w:right w:val="single" w:sz="4" w:space="0" w:color="auto"/>
            </w:tcBorders>
            <w:shd w:val="clear" w:color="auto" w:fill="auto"/>
            <w:vAlign w:val="center"/>
          </w:tcPr>
          <w:p w14:paraId="4767F0CE" w14:textId="427D89FD" w:rsidR="00CB555C" w:rsidRPr="00CB555C" w:rsidRDefault="00CB555C" w:rsidP="001E08FF">
            <w:pPr>
              <w:ind w:firstLine="0"/>
              <w:jc w:val="center"/>
              <w:rPr>
                <w:rFonts w:eastAsia="Calibri"/>
                <w:sz w:val="20"/>
                <w:szCs w:val="20"/>
                <w:lang w:eastAsia="en-US"/>
              </w:rPr>
            </w:pPr>
            <w:r w:rsidRPr="00CB555C">
              <w:rPr>
                <w:rFonts w:eastAsia="Calibri"/>
                <w:sz w:val="20"/>
                <w:szCs w:val="20"/>
                <w:lang w:eastAsia="en-US"/>
              </w:rPr>
              <w:t>–</w:t>
            </w:r>
          </w:p>
        </w:tc>
        <w:tc>
          <w:tcPr>
            <w:tcW w:w="489" w:type="pct"/>
            <w:tcBorders>
              <w:top w:val="nil"/>
              <w:left w:val="nil"/>
              <w:bottom w:val="single" w:sz="4" w:space="0" w:color="auto"/>
              <w:right w:val="single" w:sz="4" w:space="0" w:color="auto"/>
            </w:tcBorders>
            <w:shd w:val="clear" w:color="auto" w:fill="auto"/>
            <w:vAlign w:val="center"/>
          </w:tcPr>
          <w:p w14:paraId="798DE7B3" w14:textId="5791D0A4" w:rsidR="00CB555C" w:rsidRPr="008A4171" w:rsidRDefault="00CB555C" w:rsidP="001E08FF">
            <w:pPr>
              <w:ind w:firstLine="0"/>
              <w:jc w:val="center"/>
              <w:rPr>
                <w:rFonts w:eastAsia="Calibri"/>
                <w:sz w:val="20"/>
                <w:szCs w:val="20"/>
                <w:lang w:eastAsia="en-US"/>
              </w:rPr>
            </w:pPr>
            <w:r>
              <w:rPr>
                <w:rFonts w:eastAsia="Calibri"/>
                <w:sz w:val="20"/>
                <w:szCs w:val="20"/>
                <w:lang w:eastAsia="en-US"/>
              </w:rPr>
              <w:t>0,28</w:t>
            </w:r>
          </w:p>
        </w:tc>
        <w:tc>
          <w:tcPr>
            <w:tcW w:w="561" w:type="pct"/>
            <w:tcBorders>
              <w:top w:val="nil"/>
              <w:left w:val="nil"/>
              <w:bottom w:val="single" w:sz="4" w:space="0" w:color="auto"/>
              <w:right w:val="single" w:sz="4" w:space="0" w:color="auto"/>
            </w:tcBorders>
            <w:shd w:val="clear" w:color="auto" w:fill="auto"/>
            <w:vAlign w:val="center"/>
          </w:tcPr>
          <w:p w14:paraId="53FEA833" w14:textId="66CED259"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7,04</w:t>
            </w:r>
          </w:p>
        </w:tc>
      </w:tr>
      <w:tr w:rsidR="00CB555C" w:rsidRPr="008A4171" w14:paraId="582D5183" w14:textId="77777777" w:rsidTr="001E08FF">
        <w:tc>
          <w:tcPr>
            <w:tcW w:w="1884" w:type="pct"/>
          </w:tcPr>
          <w:p w14:paraId="4B73BC37" w14:textId="77777777" w:rsidR="00CB555C" w:rsidRPr="008A4171" w:rsidRDefault="00CB555C" w:rsidP="001E08FF">
            <w:pPr>
              <w:ind w:firstLine="0"/>
              <w:rPr>
                <w:rFonts w:eastAsia="Calibri"/>
                <w:sz w:val="20"/>
                <w:szCs w:val="20"/>
                <w:lang w:eastAsia="en-US"/>
              </w:rPr>
            </w:pPr>
            <w:r w:rsidRPr="008A4171">
              <w:rPr>
                <w:rFonts w:eastAsia="Calibri"/>
                <w:sz w:val="20"/>
                <w:szCs w:val="20"/>
                <w:lang w:eastAsia="en-US"/>
              </w:rPr>
              <w:t>Западно-Камчатская подзона</w:t>
            </w:r>
          </w:p>
        </w:tc>
        <w:tc>
          <w:tcPr>
            <w:tcW w:w="564" w:type="pct"/>
            <w:tcBorders>
              <w:top w:val="nil"/>
              <w:left w:val="single" w:sz="4" w:space="0" w:color="auto"/>
              <w:bottom w:val="single" w:sz="4" w:space="0" w:color="auto"/>
              <w:right w:val="single" w:sz="4" w:space="0" w:color="auto"/>
            </w:tcBorders>
            <w:shd w:val="clear" w:color="auto" w:fill="auto"/>
            <w:vAlign w:val="center"/>
          </w:tcPr>
          <w:p w14:paraId="32085908" w14:textId="24A2FA34" w:rsidR="00CB555C" w:rsidRPr="008A4171" w:rsidRDefault="00CB555C" w:rsidP="001E08FF">
            <w:pPr>
              <w:ind w:firstLine="0"/>
              <w:jc w:val="center"/>
              <w:rPr>
                <w:rFonts w:eastAsia="Calibri"/>
                <w:sz w:val="20"/>
                <w:szCs w:val="20"/>
                <w:lang w:eastAsia="en-US"/>
              </w:rPr>
            </w:pPr>
            <w:r>
              <w:rPr>
                <w:rFonts w:eastAsia="Calibri"/>
                <w:sz w:val="20"/>
                <w:szCs w:val="20"/>
                <w:lang w:eastAsia="en-US"/>
              </w:rPr>
              <w:t>1,96</w:t>
            </w:r>
          </w:p>
        </w:tc>
        <w:tc>
          <w:tcPr>
            <w:tcW w:w="556" w:type="pct"/>
            <w:tcBorders>
              <w:top w:val="nil"/>
              <w:left w:val="nil"/>
              <w:bottom w:val="single" w:sz="4" w:space="0" w:color="auto"/>
              <w:right w:val="single" w:sz="4" w:space="0" w:color="auto"/>
            </w:tcBorders>
            <w:shd w:val="clear" w:color="auto" w:fill="auto"/>
            <w:vAlign w:val="center"/>
          </w:tcPr>
          <w:p w14:paraId="054C5396" w14:textId="16AAB2FD" w:rsidR="00CB555C" w:rsidRPr="008A4171" w:rsidRDefault="00CB555C" w:rsidP="001E08FF">
            <w:pPr>
              <w:ind w:firstLine="0"/>
              <w:jc w:val="center"/>
              <w:rPr>
                <w:rFonts w:eastAsia="Calibri"/>
                <w:sz w:val="20"/>
                <w:szCs w:val="20"/>
                <w:lang w:eastAsia="en-US"/>
              </w:rPr>
            </w:pPr>
            <w:r>
              <w:rPr>
                <w:rFonts w:eastAsia="Calibri"/>
                <w:sz w:val="20"/>
                <w:szCs w:val="20"/>
                <w:lang w:eastAsia="en-US"/>
              </w:rPr>
              <w:t>1,82</w:t>
            </w:r>
          </w:p>
        </w:tc>
        <w:tc>
          <w:tcPr>
            <w:tcW w:w="494" w:type="pct"/>
            <w:tcBorders>
              <w:top w:val="nil"/>
              <w:left w:val="nil"/>
              <w:bottom w:val="single" w:sz="4" w:space="0" w:color="auto"/>
              <w:right w:val="single" w:sz="4" w:space="0" w:color="auto"/>
            </w:tcBorders>
            <w:shd w:val="clear" w:color="auto" w:fill="auto"/>
            <w:vAlign w:val="center"/>
          </w:tcPr>
          <w:p w14:paraId="5C2F6680" w14:textId="2C0D77BE" w:rsidR="00CB555C" w:rsidRPr="008A4171" w:rsidRDefault="00CB555C" w:rsidP="001E08FF">
            <w:pPr>
              <w:ind w:firstLine="0"/>
              <w:jc w:val="center"/>
              <w:rPr>
                <w:rFonts w:eastAsia="Calibri"/>
                <w:sz w:val="20"/>
                <w:szCs w:val="20"/>
                <w:lang w:eastAsia="en-US"/>
              </w:rPr>
            </w:pPr>
            <w:r>
              <w:rPr>
                <w:rFonts w:eastAsia="Calibri"/>
                <w:sz w:val="20"/>
                <w:szCs w:val="20"/>
                <w:lang w:eastAsia="en-US"/>
              </w:rPr>
              <w:t>1,68</w:t>
            </w:r>
          </w:p>
        </w:tc>
        <w:tc>
          <w:tcPr>
            <w:tcW w:w="451" w:type="pct"/>
            <w:tcBorders>
              <w:top w:val="nil"/>
              <w:left w:val="nil"/>
              <w:bottom w:val="single" w:sz="4" w:space="0" w:color="auto"/>
              <w:right w:val="single" w:sz="4" w:space="0" w:color="auto"/>
            </w:tcBorders>
            <w:shd w:val="clear" w:color="auto" w:fill="auto"/>
            <w:vAlign w:val="center"/>
          </w:tcPr>
          <w:p w14:paraId="217C2181" w14:textId="3416BC80" w:rsidR="00CB555C" w:rsidRPr="008A4171" w:rsidRDefault="00CB555C" w:rsidP="001E08FF">
            <w:pPr>
              <w:ind w:firstLine="0"/>
              <w:jc w:val="center"/>
              <w:rPr>
                <w:rFonts w:eastAsia="Calibri"/>
                <w:sz w:val="20"/>
                <w:szCs w:val="20"/>
                <w:lang w:eastAsia="en-US"/>
              </w:rPr>
            </w:pPr>
            <w:r>
              <w:rPr>
                <w:rFonts w:eastAsia="Calibri"/>
                <w:sz w:val="20"/>
                <w:szCs w:val="20"/>
                <w:lang w:eastAsia="en-US"/>
              </w:rPr>
              <w:t>0,7</w:t>
            </w:r>
          </w:p>
        </w:tc>
        <w:tc>
          <w:tcPr>
            <w:tcW w:w="489" w:type="pct"/>
            <w:tcBorders>
              <w:top w:val="nil"/>
              <w:left w:val="nil"/>
              <w:bottom w:val="single" w:sz="4" w:space="0" w:color="auto"/>
              <w:right w:val="single" w:sz="4" w:space="0" w:color="auto"/>
            </w:tcBorders>
            <w:shd w:val="clear" w:color="auto" w:fill="auto"/>
            <w:vAlign w:val="center"/>
          </w:tcPr>
          <w:p w14:paraId="321E2602" w14:textId="6026DFAB" w:rsidR="00CB555C" w:rsidRPr="008A4171" w:rsidRDefault="00CB555C" w:rsidP="001E08FF">
            <w:pPr>
              <w:ind w:firstLine="0"/>
              <w:jc w:val="center"/>
              <w:rPr>
                <w:rFonts w:eastAsia="Calibri"/>
                <w:sz w:val="20"/>
                <w:szCs w:val="20"/>
                <w:lang w:eastAsia="en-US"/>
              </w:rPr>
            </w:pPr>
            <w:r>
              <w:rPr>
                <w:rFonts w:eastAsia="Calibri"/>
                <w:sz w:val="20"/>
                <w:szCs w:val="20"/>
                <w:lang w:eastAsia="en-US"/>
              </w:rPr>
              <w:t>0,7</w:t>
            </w:r>
          </w:p>
        </w:tc>
        <w:tc>
          <w:tcPr>
            <w:tcW w:w="561" w:type="pct"/>
            <w:tcBorders>
              <w:top w:val="nil"/>
              <w:left w:val="nil"/>
              <w:bottom w:val="single" w:sz="4" w:space="0" w:color="auto"/>
              <w:right w:val="single" w:sz="4" w:space="0" w:color="auto"/>
            </w:tcBorders>
            <w:shd w:val="clear" w:color="auto" w:fill="auto"/>
            <w:vAlign w:val="center"/>
          </w:tcPr>
          <w:p w14:paraId="49A4F3E4" w14:textId="6DFAA3EA"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6,86</w:t>
            </w:r>
          </w:p>
        </w:tc>
      </w:tr>
      <w:tr w:rsidR="00CB555C" w:rsidRPr="008A4171" w14:paraId="0A20A734" w14:textId="77777777" w:rsidTr="001E08FF">
        <w:tc>
          <w:tcPr>
            <w:tcW w:w="1884" w:type="pct"/>
          </w:tcPr>
          <w:p w14:paraId="5D9CE6B4" w14:textId="77777777" w:rsidR="00CB555C" w:rsidRPr="008A4171" w:rsidRDefault="00CB555C" w:rsidP="001E08FF">
            <w:pPr>
              <w:ind w:firstLine="0"/>
              <w:rPr>
                <w:rFonts w:eastAsia="Calibri"/>
                <w:sz w:val="20"/>
                <w:szCs w:val="20"/>
                <w:lang w:eastAsia="en-US"/>
              </w:rPr>
            </w:pPr>
            <w:proofErr w:type="spellStart"/>
            <w:r w:rsidRPr="008A4171">
              <w:rPr>
                <w:rFonts w:eastAsia="Calibri"/>
                <w:sz w:val="20"/>
                <w:szCs w:val="20"/>
                <w:lang w:eastAsia="en-US"/>
              </w:rPr>
              <w:t>Камчатско</w:t>
            </w:r>
            <w:proofErr w:type="spellEnd"/>
            <w:r w:rsidRPr="008A4171">
              <w:rPr>
                <w:rFonts w:eastAsia="Calibri"/>
                <w:sz w:val="20"/>
                <w:szCs w:val="20"/>
                <w:lang w:eastAsia="en-US"/>
              </w:rPr>
              <w:t>-Курильская подзона</w:t>
            </w:r>
          </w:p>
        </w:tc>
        <w:tc>
          <w:tcPr>
            <w:tcW w:w="564" w:type="pct"/>
            <w:tcBorders>
              <w:top w:val="nil"/>
              <w:left w:val="single" w:sz="4" w:space="0" w:color="auto"/>
              <w:bottom w:val="single" w:sz="4" w:space="0" w:color="auto"/>
              <w:right w:val="single" w:sz="4" w:space="0" w:color="auto"/>
            </w:tcBorders>
            <w:shd w:val="clear" w:color="auto" w:fill="auto"/>
            <w:vAlign w:val="center"/>
          </w:tcPr>
          <w:p w14:paraId="674B789B" w14:textId="5476C842" w:rsidR="00CB555C" w:rsidRPr="008A4171" w:rsidRDefault="00CB555C" w:rsidP="001E08FF">
            <w:pPr>
              <w:ind w:firstLine="0"/>
              <w:jc w:val="center"/>
              <w:rPr>
                <w:rFonts w:eastAsia="Calibri"/>
                <w:sz w:val="20"/>
                <w:szCs w:val="20"/>
                <w:lang w:eastAsia="en-US"/>
              </w:rPr>
            </w:pPr>
            <w:r>
              <w:rPr>
                <w:rFonts w:eastAsia="Calibri"/>
                <w:sz w:val="20"/>
                <w:szCs w:val="20"/>
                <w:lang w:eastAsia="en-US"/>
              </w:rPr>
              <w:t>6,15</w:t>
            </w:r>
          </w:p>
        </w:tc>
        <w:tc>
          <w:tcPr>
            <w:tcW w:w="556" w:type="pct"/>
            <w:tcBorders>
              <w:top w:val="nil"/>
              <w:left w:val="nil"/>
              <w:bottom w:val="single" w:sz="4" w:space="0" w:color="auto"/>
              <w:right w:val="single" w:sz="4" w:space="0" w:color="auto"/>
            </w:tcBorders>
            <w:shd w:val="clear" w:color="auto" w:fill="auto"/>
            <w:vAlign w:val="center"/>
          </w:tcPr>
          <w:p w14:paraId="555EBDC1" w14:textId="7315359F" w:rsidR="00CB555C" w:rsidRPr="008A4171" w:rsidRDefault="00CB555C" w:rsidP="001E08FF">
            <w:pPr>
              <w:ind w:firstLine="0"/>
              <w:jc w:val="center"/>
              <w:rPr>
                <w:rFonts w:eastAsia="Calibri"/>
                <w:sz w:val="20"/>
                <w:szCs w:val="20"/>
                <w:lang w:eastAsia="en-US"/>
              </w:rPr>
            </w:pPr>
            <w:r>
              <w:rPr>
                <w:rFonts w:eastAsia="Calibri"/>
                <w:sz w:val="20"/>
                <w:szCs w:val="20"/>
                <w:lang w:eastAsia="en-US"/>
              </w:rPr>
              <w:t>4,95</w:t>
            </w:r>
          </w:p>
        </w:tc>
        <w:tc>
          <w:tcPr>
            <w:tcW w:w="494" w:type="pct"/>
            <w:tcBorders>
              <w:top w:val="nil"/>
              <w:left w:val="nil"/>
              <w:bottom w:val="single" w:sz="4" w:space="0" w:color="auto"/>
              <w:right w:val="single" w:sz="4" w:space="0" w:color="auto"/>
            </w:tcBorders>
            <w:shd w:val="clear" w:color="auto" w:fill="auto"/>
            <w:vAlign w:val="center"/>
          </w:tcPr>
          <w:p w14:paraId="2EA28116" w14:textId="15FB44C2" w:rsidR="00CB555C" w:rsidRPr="008A4171" w:rsidRDefault="00CB555C" w:rsidP="001E08FF">
            <w:pPr>
              <w:ind w:firstLine="0"/>
              <w:jc w:val="center"/>
              <w:rPr>
                <w:rFonts w:eastAsia="Calibri"/>
                <w:sz w:val="20"/>
                <w:szCs w:val="20"/>
                <w:lang w:eastAsia="en-US"/>
              </w:rPr>
            </w:pPr>
            <w:r>
              <w:rPr>
                <w:rFonts w:eastAsia="Calibri"/>
                <w:sz w:val="20"/>
                <w:szCs w:val="20"/>
                <w:lang w:eastAsia="en-US"/>
              </w:rPr>
              <w:t>5,2</w:t>
            </w:r>
          </w:p>
        </w:tc>
        <w:tc>
          <w:tcPr>
            <w:tcW w:w="451" w:type="pct"/>
            <w:tcBorders>
              <w:top w:val="nil"/>
              <w:left w:val="nil"/>
              <w:bottom w:val="single" w:sz="4" w:space="0" w:color="auto"/>
              <w:right w:val="single" w:sz="4" w:space="0" w:color="auto"/>
            </w:tcBorders>
            <w:shd w:val="clear" w:color="auto" w:fill="auto"/>
            <w:vAlign w:val="center"/>
          </w:tcPr>
          <w:p w14:paraId="2B3EF904" w14:textId="6D5F9FE7" w:rsidR="00CB555C" w:rsidRPr="008A4171" w:rsidRDefault="00CB555C" w:rsidP="001E08FF">
            <w:pPr>
              <w:ind w:firstLine="0"/>
              <w:jc w:val="center"/>
              <w:rPr>
                <w:rFonts w:eastAsia="Calibri"/>
                <w:sz w:val="20"/>
                <w:szCs w:val="20"/>
                <w:lang w:eastAsia="en-US"/>
              </w:rPr>
            </w:pPr>
            <w:r>
              <w:rPr>
                <w:rFonts w:eastAsia="Calibri"/>
                <w:sz w:val="20"/>
                <w:szCs w:val="20"/>
                <w:lang w:eastAsia="en-US"/>
              </w:rPr>
              <w:t>1,5</w:t>
            </w:r>
          </w:p>
        </w:tc>
        <w:tc>
          <w:tcPr>
            <w:tcW w:w="489" w:type="pct"/>
            <w:tcBorders>
              <w:top w:val="nil"/>
              <w:left w:val="nil"/>
              <w:bottom w:val="single" w:sz="4" w:space="0" w:color="auto"/>
              <w:right w:val="single" w:sz="4" w:space="0" w:color="auto"/>
            </w:tcBorders>
            <w:shd w:val="clear" w:color="auto" w:fill="auto"/>
            <w:vAlign w:val="center"/>
          </w:tcPr>
          <w:p w14:paraId="29E3E7FE" w14:textId="15E76BC5" w:rsidR="00CB555C" w:rsidRPr="008A4171" w:rsidRDefault="00CB555C" w:rsidP="001E08FF">
            <w:pPr>
              <w:ind w:firstLine="0"/>
              <w:jc w:val="center"/>
              <w:rPr>
                <w:rFonts w:eastAsia="Calibri"/>
                <w:sz w:val="20"/>
                <w:szCs w:val="20"/>
                <w:lang w:eastAsia="en-US"/>
              </w:rPr>
            </w:pPr>
            <w:r>
              <w:rPr>
                <w:rFonts w:eastAsia="Calibri"/>
                <w:sz w:val="20"/>
                <w:szCs w:val="20"/>
                <w:lang w:eastAsia="en-US"/>
              </w:rPr>
              <w:t>1,26</w:t>
            </w:r>
          </w:p>
        </w:tc>
        <w:tc>
          <w:tcPr>
            <w:tcW w:w="561" w:type="pct"/>
            <w:tcBorders>
              <w:top w:val="nil"/>
              <w:left w:val="nil"/>
              <w:bottom w:val="single" w:sz="4" w:space="0" w:color="auto"/>
              <w:right w:val="single" w:sz="4" w:space="0" w:color="auto"/>
            </w:tcBorders>
            <w:shd w:val="clear" w:color="auto" w:fill="auto"/>
            <w:vAlign w:val="center"/>
          </w:tcPr>
          <w:p w14:paraId="2747D770" w14:textId="5B729F69"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19,06</w:t>
            </w:r>
          </w:p>
        </w:tc>
      </w:tr>
      <w:tr w:rsidR="00CB555C" w:rsidRPr="008A4171" w14:paraId="4D575E93" w14:textId="77777777" w:rsidTr="001E08FF">
        <w:tc>
          <w:tcPr>
            <w:tcW w:w="1884" w:type="pct"/>
          </w:tcPr>
          <w:p w14:paraId="21BB1C42" w14:textId="77777777" w:rsidR="00CB555C" w:rsidRPr="008A4171" w:rsidRDefault="00CB555C" w:rsidP="001E08FF">
            <w:pPr>
              <w:ind w:firstLine="0"/>
              <w:rPr>
                <w:rFonts w:eastAsia="Calibri"/>
                <w:sz w:val="20"/>
                <w:szCs w:val="20"/>
                <w:lang w:eastAsia="en-US"/>
              </w:rPr>
            </w:pPr>
            <w:r w:rsidRPr="008A4171">
              <w:rPr>
                <w:rFonts w:eastAsia="Calibri"/>
                <w:sz w:val="20"/>
                <w:szCs w:val="20"/>
                <w:lang w:eastAsia="en-US"/>
              </w:rPr>
              <w:t>Восточно-Сахалинская подзона</w:t>
            </w:r>
          </w:p>
        </w:tc>
        <w:tc>
          <w:tcPr>
            <w:tcW w:w="564" w:type="pct"/>
            <w:tcBorders>
              <w:top w:val="nil"/>
              <w:left w:val="single" w:sz="4" w:space="0" w:color="auto"/>
              <w:bottom w:val="single" w:sz="4" w:space="0" w:color="auto"/>
              <w:right w:val="single" w:sz="4" w:space="0" w:color="auto"/>
            </w:tcBorders>
            <w:shd w:val="clear" w:color="auto" w:fill="auto"/>
            <w:vAlign w:val="center"/>
          </w:tcPr>
          <w:p w14:paraId="2237C374" w14:textId="33E10A40" w:rsidR="00CB555C" w:rsidRPr="008A4171" w:rsidRDefault="00CB555C" w:rsidP="001E08FF">
            <w:pPr>
              <w:ind w:firstLine="0"/>
              <w:jc w:val="center"/>
              <w:rPr>
                <w:rFonts w:eastAsia="Calibri"/>
                <w:sz w:val="20"/>
                <w:szCs w:val="20"/>
                <w:lang w:eastAsia="en-US"/>
              </w:rPr>
            </w:pPr>
            <w:r>
              <w:rPr>
                <w:rFonts w:eastAsia="Calibri"/>
                <w:sz w:val="20"/>
                <w:szCs w:val="20"/>
                <w:lang w:eastAsia="en-US"/>
              </w:rPr>
              <w:t>1,79</w:t>
            </w:r>
          </w:p>
        </w:tc>
        <w:tc>
          <w:tcPr>
            <w:tcW w:w="556" w:type="pct"/>
            <w:tcBorders>
              <w:top w:val="nil"/>
              <w:left w:val="nil"/>
              <w:bottom w:val="single" w:sz="4" w:space="0" w:color="auto"/>
              <w:right w:val="single" w:sz="4" w:space="0" w:color="auto"/>
            </w:tcBorders>
            <w:shd w:val="clear" w:color="auto" w:fill="auto"/>
            <w:vAlign w:val="center"/>
          </w:tcPr>
          <w:p w14:paraId="50520AD0" w14:textId="45593AB3" w:rsidR="00CB555C" w:rsidRPr="008A4171" w:rsidRDefault="00CB555C" w:rsidP="001E08FF">
            <w:pPr>
              <w:ind w:firstLine="0"/>
              <w:jc w:val="center"/>
              <w:rPr>
                <w:rFonts w:eastAsia="Calibri"/>
                <w:sz w:val="20"/>
                <w:szCs w:val="20"/>
                <w:lang w:eastAsia="en-US"/>
              </w:rPr>
            </w:pPr>
            <w:r>
              <w:rPr>
                <w:rFonts w:eastAsia="Calibri"/>
                <w:sz w:val="20"/>
                <w:szCs w:val="20"/>
                <w:lang w:eastAsia="en-US"/>
              </w:rPr>
              <w:t>1,79</w:t>
            </w:r>
          </w:p>
        </w:tc>
        <w:tc>
          <w:tcPr>
            <w:tcW w:w="494" w:type="pct"/>
            <w:tcBorders>
              <w:top w:val="nil"/>
              <w:left w:val="nil"/>
              <w:bottom w:val="single" w:sz="4" w:space="0" w:color="auto"/>
              <w:right w:val="single" w:sz="4" w:space="0" w:color="auto"/>
            </w:tcBorders>
            <w:shd w:val="clear" w:color="auto" w:fill="auto"/>
            <w:vAlign w:val="center"/>
          </w:tcPr>
          <w:p w14:paraId="7675A6F3" w14:textId="5BF56BBE" w:rsidR="00CB555C" w:rsidRPr="008A4171" w:rsidRDefault="00CB555C" w:rsidP="001E08FF">
            <w:pPr>
              <w:ind w:firstLine="0"/>
              <w:jc w:val="center"/>
              <w:rPr>
                <w:rFonts w:eastAsia="Calibri"/>
                <w:sz w:val="20"/>
                <w:szCs w:val="20"/>
                <w:lang w:eastAsia="en-US"/>
              </w:rPr>
            </w:pPr>
            <w:r>
              <w:rPr>
                <w:rFonts w:eastAsia="Calibri"/>
                <w:sz w:val="20"/>
                <w:szCs w:val="20"/>
                <w:lang w:eastAsia="en-US"/>
              </w:rPr>
              <w:t>0,85</w:t>
            </w:r>
          </w:p>
        </w:tc>
        <w:tc>
          <w:tcPr>
            <w:tcW w:w="451" w:type="pct"/>
            <w:tcBorders>
              <w:top w:val="nil"/>
              <w:left w:val="nil"/>
              <w:bottom w:val="single" w:sz="4" w:space="0" w:color="auto"/>
              <w:right w:val="single" w:sz="4" w:space="0" w:color="auto"/>
            </w:tcBorders>
            <w:shd w:val="clear" w:color="auto" w:fill="auto"/>
            <w:vAlign w:val="center"/>
          </w:tcPr>
          <w:p w14:paraId="1A92ACDE" w14:textId="012B6488" w:rsidR="00CB555C" w:rsidRPr="008A4171" w:rsidRDefault="00CB555C" w:rsidP="001E08FF">
            <w:pPr>
              <w:ind w:firstLine="0"/>
              <w:jc w:val="center"/>
              <w:rPr>
                <w:rFonts w:eastAsia="Calibri"/>
                <w:sz w:val="20"/>
                <w:szCs w:val="20"/>
                <w:lang w:eastAsia="en-US"/>
              </w:rPr>
            </w:pPr>
            <w:r w:rsidRPr="00CB555C">
              <w:rPr>
                <w:rFonts w:eastAsia="Calibri"/>
                <w:sz w:val="20"/>
                <w:szCs w:val="20"/>
                <w:lang w:eastAsia="en-US"/>
              </w:rPr>
              <w:t>–</w:t>
            </w:r>
          </w:p>
        </w:tc>
        <w:tc>
          <w:tcPr>
            <w:tcW w:w="489" w:type="pct"/>
            <w:tcBorders>
              <w:top w:val="nil"/>
              <w:left w:val="nil"/>
              <w:bottom w:val="single" w:sz="4" w:space="0" w:color="auto"/>
              <w:right w:val="single" w:sz="4" w:space="0" w:color="auto"/>
            </w:tcBorders>
            <w:shd w:val="clear" w:color="auto" w:fill="auto"/>
            <w:vAlign w:val="center"/>
          </w:tcPr>
          <w:p w14:paraId="07FE8C68" w14:textId="33A64FD3" w:rsidR="00CB555C" w:rsidRPr="008A4171" w:rsidRDefault="00CB555C" w:rsidP="001E08FF">
            <w:pPr>
              <w:ind w:firstLine="0"/>
              <w:jc w:val="center"/>
              <w:rPr>
                <w:rFonts w:eastAsia="Calibri"/>
                <w:sz w:val="20"/>
                <w:szCs w:val="20"/>
                <w:lang w:eastAsia="en-US"/>
              </w:rPr>
            </w:pPr>
            <w:r>
              <w:rPr>
                <w:rFonts w:eastAsia="Calibri"/>
                <w:sz w:val="20"/>
                <w:szCs w:val="20"/>
                <w:lang w:eastAsia="en-US"/>
              </w:rPr>
              <w:t>0,28</w:t>
            </w:r>
          </w:p>
        </w:tc>
        <w:tc>
          <w:tcPr>
            <w:tcW w:w="561" w:type="pct"/>
            <w:tcBorders>
              <w:top w:val="nil"/>
              <w:left w:val="nil"/>
              <w:bottom w:val="single" w:sz="4" w:space="0" w:color="auto"/>
              <w:right w:val="single" w:sz="4" w:space="0" w:color="auto"/>
            </w:tcBorders>
            <w:shd w:val="clear" w:color="auto" w:fill="auto"/>
            <w:vAlign w:val="center"/>
          </w:tcPr>
          <w:p w14:paraId="4B5D1765" w14:textId="5EB7B824"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4,71</w:t>
            </w:r>
          </w:p>
        </w:tc>
      </w:tr>
      <w:tr w:rsidR="00CB555C" w:rsidRPr="008A4171" w14:paraId="2979A0B1" w14:textId="77777777" w:rsidTr="001E08FF">
        <w:tc>
          <w:tcPr>
            <w:tcW w:w="1884" w:type="pct"/>
          </w:tcPr>
          <w:p w14:paraId="2BD401EC" w14:textId="77777777" w:rsidR="00CB555C" w:rsidRPr="008A4171" w:rsidRDefault="00CB555C" w:rsidP="001E08FF">
            <w:pPr>
              <w:ind w:firstLine="0"/>
              <w:rPr>
                <w:rFonts w:eastAsia="Calibri"/>
                <w:sz w:val="20"/>
                <w:szCs w:val="20"/>
                <w:lang w:eastAsia="en-US"/>
              </w:rPr>
            </w:pPr>
            <w:r w:rsidRPr="008A4171">
              <w:rPr>
                <w:rFonts w:eastAsia="Calibri"/>
                <w:sz w:val="20"/>
                <w:szCs w:val="20"/>
                <w:lang w:eastAsia="en-US"/>
              </w:rPr>
              <w:t>Подзона Приморье</w:t>
            </w:r>
          </w:p>
        </w:tc>
        <w:tc>
          <w:tcPr>
            <w:tcW w:w="564" w:type="pct"/>
            <w:tcBorders>
              <w:top w:val="nil"/>
              <w:left w:val="single" w:sz="4" w:space="0" w:color="auto"/>
              <w:bottom w:val="single" w:sz="4" w:space="0" w:color="auto"/>
              <w:right w:val="single" w:sz="4" w:space="0" w:color="auto"/>
            </w:tcBorders>
            <w:shd w:val="clear" w:color="auto" w:fill="auto"/>
            <w:vAlign w:val="center"/>
          </w:tcPr>
          <w:p w14:paraId="7F5A9060" w14:textId="10B16A48" w:rsidR="00CB555C" w:rsidRPr="008A4171" w:rsidRDefault="00CB555C" w:rsidP="001E08FF">
            <w:pPr>
              <w:ind w:firstLine="0"/>
              <w:jc w:val="center"/>
              <w:rPr>
                <w:rFonts w:eastAsia="Calibri"/>
                <w:sz w:val="20"/>
                <w:szCs w:val="20"/>
                <w:lang w:eastAsia="en-US"/>
              </w:rPr>
            </w:pPr>
            <w:r>
              <w:rPr>
                <w:rFonts w:eastAsia="Calibri"/>
                <w:sz w:val="20"/>
                <w:szCs w:val="20"/>
                <w:lang w:eastAsia="en-US"/>
              </w:rPr>
              <w:t>0,56</w:t>
            </w:r>
          </w:p>
        </w:tc>
        <w:tc>
          <w:tcPr>
            <w:tcW w:w="556" w:type="pct"/>
            <w:tcBorders>
              <w:top w:val="nil"/>
              <w:left w:val="nil"/>
              <w:bottom w:val="single" w:sz="4" w:space="0" w:color="auto"/>
              <w:right w:val="single" w:sz="4" w:space="0" w:color="auto"/>
            </w:tcBorders>
            <w:shd w:val="clear" w:color="auto" w:fill="auto"/>
            <w:vAlign w:val="center"/>
          </w:tcPr>
          <w:p w14:paraId="5061A451" w14:textId="22192578" w:rsidR="00CB555C" w:rsidRPr="008A4171" w:rsidRDefault="00CB555C" w:rsidP="001E08FF">
            <w:pPr>
              <w:ind w:firstLine="0"/>
              <w:jc w:val="center"/>
              <w:rPr>
                <w:rFonts w:eastAsia="Calibri"/>
                <w:sz w:val="20"/>
                <w:szCs w:val="20"/>
                <w:lang w:eastAsia="en-US"/>
              </w:rPr>
            </w:pPr>
            <w:r>
              <w:rPr>
                <w:rFonts w:eastAsia="Calibri"/>
                <w:sz w:val="20"/>
                <w:szCs w:val="20"/>
                <w:lang w:eastAsia="en-US"/>
              </w:rPr>
              <w:t>0,56</w:t>
            </w:r>
          </w:p>
        </w:tc>
        <w:tc>
          <w:tcPr>
            <w:tcW w:w="494" w:type="pct"/>
            <w:tcBorders>
              <w:top w:val="nil"/>
              <w:left w:val="nil"/>
              <w:bottom w:val="single" w:sz="4" w:space="0" w:color="auto"/>
              <w:right w:val="single" w:sz="4" w:space="0" w:color="auto"/>
            </w:tcBorders>
            <w:shd w:val="clear" w:color="auto" w:fill="auto"/>
            <w:vAlign w:val="center"/>
          </w:tcPr>
          <w:p w14:paraId="4CE99190" w14:textId="17F67663" w:rsidR="00CB555C" w:rsidRPr="008A4171" w:rsidRDefault="00CB555C" w:rsidP="001E08FF">
            <w:pPr>
              <w:ind w:firstLine="0"/>
              <w:jc w:val="center"/>
              <w:rPr>
                <w:rFonts w:eastAsia="Calibri"/>
                <w:sz w:val="20"/>
                <w:szCs w:val="20"/>
                <w:lang w:eastAsia="en-US"/>
              </w:rPr>
            </w:pPr>
            <w:r w:rsidRPr="00CB555C">
              <w:rPr>
                <w:rFonts w:eastAsia="Calibri"/>
                <w:sz w:val="20"/>
                <w:szCs w:val="20"/>
                <w:lang w:eastAsia="en-US"/>
              </w:rPr>
              <w:t>–</w:t>
            </w:r>
          </w:p>
        </w:tc>
        <w:tc>
          <w:tcPr>
            <w:tcW w:w="451" w:type="pct"/>
            <w:tcBorders>
              <w:top w:val="nil"/>
              <w:left w:val="nil"/>
              <w:bottom w:val="single" w:sz="4" w:space="0" w:color="auto"/>
              <w:right w:val="single" w:sz="4" w:space="0" w:color="auto"/>
            </w:tcBorders>
            <w:shd w:val="clear" w:color="auto" w:fill="auto"/>
            <w:vAlign w:val="center"/>
          </w:tcPr>
          <w:p w14:paraId="37822EDC" w14:textId="652863D8" w:rsidR="00CB555C" w:rsidRPr="008A4171" w:rsidRDefault="00CB555C" w:rsidP="001E08FF">
            <w:pPr>
              <w:ind w:firstLine="0"/>
              <w:jc w:val="center"/>
              <w:rPr>
                <w:rFonts w:eastAsia="Calibri"/>
                <w:sz w:val="20"/>
                <w:szCs w:val="20"/>
                <w:lang w:eastAsia="en-US"/>
              </w:rPr>
            </w:pPr>
            <w:r w:rsidRPr="00CB555C">
              <w:rPr>
                <w:rFonts w:eastAsia="Calibri"/>
                <w:sz w:val="20"/>
                <w:szCs w:val="20"/>
                <w:lang w:eastAsia="en-US"/>
              </w:rPr>
              <w:t>–</w:t>
            </w:r>
          </w:p>
        </w:tc>
        <w:tc>
          <w:tcPr>
            <w:tcW w:w="489" w:type="pct"/>
            <w:tcBorders>
              <w:top w:val="nil"/>
              <w:left w:val="nil"/>
              <w:bottom w:val="single" w:sz="4" w:space="0" w:color="auto"/>
              <w:right w:val="single" w:sz="4" w:space="0" w:color="auto"/>
            </w:tcBorders>
            <w:shd w:val="clear" w:color="auto" w:fill="auto"/>
            <w:vAlign w:val="center"/>
          </w:tcPr>
          <w:p w14:paraId="184C76D4" w14:textId="598B31EE" w:rsidR="00CB555C" w:rsidRPr="008A4171" w:rsidRDefault="00CB555C" w:rsidP="001E08FF">
            <w:pPr>
              <w:ind w:firstLine="0"/>
              <w:jc w:val="center"/>
              <w:rPr>
                <w:rFonts w:eastAsia="Calibri"/>
                <w:sz w:val="20"/>
                <w:szCs w:val="20"/>
                <w:lang w:eastAsia="en-US"/>
              </w:rPr>
            </w:pPr>
            <w:r w:rsidRPr="00CB555C">
              <w:rPr>
                <w:rFonts w:eastAsia="Calibri"/>
                <w:sz w:val="20"/>
                <w:szCs w:val="20"/>
                <w:lang w:eastAsia="en-US"/>
              </w:rPr>
              <w:t>–</w:t>
            </w:r>
          </w:p>
        </w:tc>
        <w:tc>
          <w:tcPr>
            <w:tcW w:w="561" w:type="pct"/>
            <w:tcBorders>
              <w:top w:val="nil"/>
              <w:left w:val="nil"/>
              <w:bottom w:val="single" w:sz="4" w:space="0" w:color="auto"/>
              <w:right w:val="single" w:sz="4" w:space="0" w:color="auto"/>
            </w:tcBorders>
            <w:shd w:val="clear" w:color="auto" w:fill="auto"/>
            <w:vAlign w:val="center"/>
          </w:tcPr>
          <w:p w14:paraId="487772BD" w14:textId="2CBD7CAA" w:rsidR="00CB555C" w:rsidRPr="008A4171" w:rsidRDefault="00BB027B" w:rsidP="001E08FF">
            <w:pPr>
              <w:ind w:firstLine="0"/>
              <w:jc w:val="center"/>
              <w:rPr>
                <w:rFonts w:eastAsia="Calibri"/>
                <w:b/>
                <w:bCs/>
                <w:sz w:val="20"/>
                <w:szCs w:val="20"/>
                <w:lang w:eastAsia="en-US"/>
              </w:rPr>
            </w:pPr>
            <w:r>
              <w:rPr>
                <w:rFonts w:eastAsia="Calibri"/>
                <w:b/>
                <w:bCs/>
                <w:sz w:val="20"/>
                <w:szCs w:val="20"/>
                <w:lang w:eastAsia="en-US"/>
              </w:rPr>
              <w:t>1,12</w:t>
            </w:r>
          </w:p>
        </w:tc>
      </w:tr>
      <w:tr w:rsidR="00CB555C" w:rsidRPr="008A4171" w14:paraId="4FEB3986" w14:textId="77777777" w:rsidTr="001E08FF">
        <w:tc>
          <w:tcPr>
            <w:tcW w:w="1884" w:type="pct"/>
          </w:tcPr>
          <w:p w14:paraId="3A166C96" w14:textId="77777777" w:rsidR="00CB555C" w:rsidRPr="008A4171" w:rsidRDefault="00CB555C" w:rsidP="00CB555C">
            <w:pPr>
              <w:ind w:firstLine="0"/>
              <w:rPr>
                <w:rFonts w:eastAsia="Calibri"/>
                <w:sz w:val="20"/>
                <w:szCs w:val="20"/>
                <w:lang w:eastAsia="en-US"/>
              </w:rPr>
            </w:pPr>
            <w:r w:rsidRPr="008A4171">
              <w:rPr>
                <w:rFonts w:eastAsia="Calibri"/>
                <w:sz w:val="20"/>
                <w:szCs w:val="20"/>
                <w:lang w:eastAsia="en-US"/>
              </w:rPr>
              <w:t>Западно-Сахалинская подзона</w:t>
            </w:r>
          </w:p>
        </w:tc>
        <w:tc>
          <w:tcPr>
            <w:tcW w:w="564" w:type="pct"/>
            <w:tcBorders>
              <w:top w:val="nil"/>
              <w:left w:val="single" w:sz="4" w:space="0" w:color="auto"/>
              <w:bottom w:val="single" w:sz="4" w:space="0" w:color="auto"/>
              <w:right w:val="single" w:sz="4" w:space="0" w:color="auto"/>
            </w:tcBorders>
            <w:shd w:val="clear" w:color="auto" w:fill="auto"/>
            <w:vAlign w:val="center"/>
          </w:tcPr>
          <w:p w14:paraId="09507882" w14:textId="1C5C291C" w:rsidR="00CB555C" w:rsidRPr="008A4171" w:rsidRDefault="00CB555C" w:rsidP="00CB555C">
            <w:pPr>
              <w:ind w:firstLine="0"/>
              <w:jc w:val="center"/>
              <w:rPr>
                <w:rFonts w:eastAsia="Calibri"/>
                <w:sz w:val="20"/>
                <w:szCs w:val="20"/>
                <w:lang w:eastAsia="en-US"/>
              </w:rPr>
            </w:pPr>
            <w:r>
              <w:rPr>
                <w:rFonts w:eastAsia="Calibri"/>
                <w:sz w:val="20"/>
                <w:szCs w:val="20"/>
                <w:lang w:eastAsia="en-US"/>
              </w:rPr>
              <w:t>0,56</w:t>
            </w:r>
          </w:p>
        </w:tc>
        <w:tc>
          <w:tcPr>
            <w:tcW w:w="556" w:type="pct"/>
            <w:tcBorders>
              <w:top w:val="nil"/>
              <w:left w:val="nil"/>
              <w:bottom w:val="single" w:sz="4" w:space="0" w:color="auto"/>
              <w:right w:val="single" w:sz="4" w:space="0" w:color="auto"/>
            </w:tcBorders>
            <w:shd w:val="clear" w:color="auto" w:fill="auto"/>
            <w:vAlign w:val="center"/>
          </w:tcPr>
          <w:p w14:paraId="6F2BC7AC" w14:textId="0D413871" w:rsidR="00CB555C" w:rsidRPr="008A4171" w:rsidRDefault="00CB555C" w:rsidP="00CB555C">
            <w:pPr>
              <w:ind w:firstLine="0"/>
              <w:jc w:val="center"/>
              <w:rPr>
                <w:rFonts w:eastAsia="Calibri"/>
                <w:sz w:val="20"/>
                <w:szCs w:val="20"/>
                <w:lang w:eastAsia="en-US"/>
              </w:rPr>
            </w:pPr>
            <w:r>
              <w:rPr>
                <w:rFonts w:eastAsia="Calibri"/>
                <w:sz w:val="20"/>
                <w:szCs w:val="20"/>
                <w:lang w:eastAsia="en-US"/>
              </w:rPr>
              <w:t>0,56</w:t>
            </w:r>
          </w:p>
        </w:tc>
        <w:tc>
          <w:tcPr>
            <w:tcW w:w="494" w:type="pct"/>
            <w:tcBorders>
              <w:top w:val="nil"/>
              <w:left w:val="nil"/>
              <w:bottom w:val="single" w:sz="4" w:space="0" w:color="auto"/>
              <w:right w:val="single" w:sz="4" w:space="0" w:color="auto"/>
            </w:tcBorders>
            <w:shd w:val="clear" w:color="auto" w:fill="auto"/>
            <w:vAlign w:val="center"/>
          </w:tcPr>
          <w:p w14:paraId="7D981761" w14:textId="69325556" w:rsidR="00CB555C" w:rsidRPr="008A4171" w:rsidRDefault="00CB555C" w:rsidP="00CB555C">
            <w:pPr>
              <w:ind w:firstLine="0"/>
              <w:jc w:val="center"/>
              <w:rPr>
                <w:rFonts w:eastAsia="Calibri"/>
                <w:sz w:val="20"/>
                <w:szCs w:val="20"/>
                <w:lang w:eastAsia="en-US"/>
              </w:rPr>
            </w:pPr>
            <w:r w:rsidRPr="00CB555C">
              <w:rPr>
                <w:rFonts w:eastAsia="Calibri"/>
                <w:sz w:val="20"/>
                <w:szCs w:val="20"/>
                <w:lang w:eastAsia="en-US"/>
              </w:rPr>
              <w:t>–</w:t>
            </w:r>
          </w:p>
        </w:tc>
        <w:tc>
          <w:tcPr>
            <w:tcW w:w="451" w:type="pct"/>
            <w:tcBorders>
              <w:top w:val="nil"/>
              <w:left w:val="nil"/>
              <w:bottom w:val="single" w:sz="4" w:space="0" w:color="auto"/>
              <w:right w:val="single" w:sz="4" w:space="0" w:color="auto"/>
            </w:tcBorders>
            <w:shd w:val="clear" w:color="auto" w:fill="auto"/>
            <w:vAlign w:val="center"/>
          </w:tcPr>
          <w:p w14:paraId="4EC5D4DB" w14:textId="4B00A56D" w:rsidR="00CB555C" w:rsidRPr="008A4171" w:rsidRDefault="00CB555C" w:rsidP="00CB555C">
            <w:pPr>
              <w:ind w:firstLine="0"/>
              <w:jc w:val="center"/>
              <w:rPr>
                <w:rFonts w:eastAsia="Calibri"/>
                <w:sz w:val="20"/>
                <w:szCs w:val="20"/>
                <w:lang w:eastAsia="en-US"/>
              </w:rPr>
            </w:pPr>
            <w:r w:rsidRPr="00CB555C">
              <w:rPr>
                <w:rFonts w:eastAsia="Calibri"/>
                <w:sz w:val="20"/>
                <w:szCs w:val="20"/>
                <w:lang w:eastAsia="en-US"/>
              </w:rPr>
              <w:t>–</w:t>
            </w:r>
          </w:p>
        </w:tc>
        <w:tc>
          <w:tcPr>
            <w:tcW w:w="489" w:type="pct"/>
            <w:tcBorders>
              <w:top w:val="nil"/>
              <w:left w:val="nil"/>
              <w:bottom w:val="single" w:sz="4" w:space="0" w:color="auto"/>
              <w:right w:val="single" w:sz="4" w:space="0" w:color="auto"/>
            </w:tcBorders>
            <w:shd w:val="clear" w:color="auto" w:fill="auto"/>
            <w:vAlign w:val="center"/>
          </w:tcPr>
          <w:p w14:paraId="1683AFB3" w14:textId="72D710A0" w:rsidR="00CB555C" w:rsidRPr="008A4171" w:rsidRDefault="00CB555C" w:rsidP="00CB555C">
            <w:pPr>
              <w:ind w:firstLine="0"/>
              <w:jc w:val="center"/>
              <w:rPr>
                <w:rFonts w:eastAsia="Calibri"/>
                <w:sz w:val="20"/>
                <w:szCs w:val="20"/>
                <w:lang w:eastAsia="en-US"/>
              </w:rPr>
            </w:pPr>
            <w:r w:rsidRPr="00CB555C">
              <w:rPr>
                <w:rFonts w:eastAsia="Calibri"/>
                <w:sz w:val="20"/>
                <w:szCs w:val="20"/>
                <w:lang w:eastAsia="en-US"/>
              </w:rPr>
              <w:t>–</w:t>
            </w:r>
          </w:p>
        </w:tc>
        <w:tc>
          <w:tcPr>
            <w:tcW w:w="561" w:type="pct"/>
            <w:tcBorders>
              <w:top w:val="nil"/>
              <w:left w:val="nil"/>
              <w:bottom w:val="single" w:sz="4" w:space="0" w:color="auto"/>
              <w:right w:val="single" w:sz="4" w:space="0" w:color="auto"/>
            </w:tcBorders>
            <w:shd w:val="clear" w:color="auto" w:fill="auto"/>
            <w:vAlign w:val="center"/>
          </w:tcPr>
          <w:p w14:paraId="54F82D35" w14:textId="50FBCCC2" w:rsidR="00CB555C" w:rsidRPr="008A4171" w:rsidRDefault="00BB027B" w:rsidP="00CB555C">
            <w:pPr>
              <w:ind w:firstLine="0"/>
              <w:jc w:val="center"/>
              <w:rPr>
                <w:rFonts w:eastAsia="Calibri"/>
                <w:b/>
                <w:bCs/>
                <w:sz w:val="20"/>
                <w:szCs w:val="20"/>
                <w:lang w:eastAsia="en-US"/>
              </w:rPr>
            </w:pPr>
            <w:r>
              <w:rPr>
                <w:rFonts w:eastAsia="Calibri"/>
                <w:b/>
                <w:bCs/>
                <w:sz w:val="20"/>
                <w:szCs w:val="20"/>
                <w:lang w:eastAsia="en-US"/>
              </w:rPr>
              <w:t>1,12</w:t>
            </w:r>
          </w:p>
        </w:tc>
      </w:tr>
      <w:tr w:rsidR="00CB555C" w:rsidRPr="008A4171" w14:paraId="438171B2" w14:textId="77777777" w:rsidTr="001E08FF">
        <w:tc>
          <w:tcPr>
            <w:tcW w:w="1884" w:type="pct"/>
          </w:tcPr>
          <w:p w14:paraId="0E0A9968" w14:textId="77777777" w:rsidR="00CB555C" w:rsidRPr="008A4171" w:rsidRDefault="00CB555C" w:rsidP="00CB555C">
            <w:pPr>
              <w:ind w:firstLine="0"/>
              <w:jc w:val="center"/>
              <w:rPr>
                <w:rFonts w:eastAsia="Calibri"/>
                <w:b/>
                <w:bCs/>
                <w:sz w:val="20"/>
                <w:szCs w:val="20"/>
                <w:lang w:eastAsia="en-US"/>
              </w:rPr>
            </w:pPr>
            <w:r w:rsidRPr="008A4171">
              <w:rPr>
                <w:rFonts w:eastAsia="Calibri"/>
                <w:b/>
                <w:bCs/>
                <w:sz w:val="20"/>
                <w:szCs w:val="20"/>
                <w:lang w:eastAsia="en-US"/>
              </w:rPr>
              <w:t>ВСЕГО</w:t>
            </w:r>
          </w:p>
        </w:tc>
        <w:tc>
          <w:tcPr>
            <w:tcW w:w="564" w:type="pct"/>
            <w:tcBorders>
              <w:top w:val="nil"/>
              <w:left w:val="single" w:sz="4" w:space="0" w:color="auto"/>
              <w:bottom w:val="single" w:sz="4" w:space="0" w:color="auto"/>
              <w:right w:val="single" w:sz="4" w:space="0" w:color="auto"/>
            </w:tcBorders>
            <w:shd w:val="clear" w:color="auto" w:fill="auto"/>
            <w:vAlign w:val="center"/>
          </w:tcPr>
          <w:p w14:paraId="47ABE872" w14:textId="296528AA" w:rsidR="00CB555C" w:rsidRPr="008A4171" w:rsidRDefault="00BB027B" w:rsidP="00CB555C">
            <w:pPr>
              <w:ind w:firstLine="0"/>
              <w:jc w:val="center"/>
              <w:rPr>
                <w:rFonts w:eastAsia="Calibri"/>
                <w:b/>
                <w:bCs/>
                <w:sz w:val="20"/>
                <w:szCs w:val="20"/>
                <w:lang w:eastAsia="en-US"/>
              </w:rPr>
            </w:pPr>
            <w:r>
              <w:rPr>
                <w:rFonts w:eastAsia="Calibri"/>
                <w:b/>
                <w:bCs/>
                <w:sz w:val="20"/>
                <w:szCs w:val="20"/>
                <w:lang w:eastAsia="en-US"/>
              </w:rPr>
              <w:t>137,66</w:t>
            </w:r>
          </w:p>
        </w:tc>
        <w:tc>
          <w:tcPr>
            <w:tcW w:w="556" w:type="pct"/>
            <w:tcBorders>
              <w:top w:val="nil"/>
              <w:left w:val="nil"/>
              <w:bottom w:val="single" w:sz="4" w:space="0" w:color="auto"/>
              <w:right w:val="single" w:sz="4" w:space="0" w:color="auto"/>
            </w:tcBorders>
            <w:shd w:val="clear" w:color="auto" w:fill="auto"/>
            <w:vAlign w:val="center"/>
          </w:tcPr>
          <w:p w14:paraId="29014A10" w14:textId="602BA254" w:rsidR="00CB555C" w:rsidRPr="008A4171" w:rsidRDefault="00BB027B" w:rsidP="00CB555C">
            <w:pPr>
              <w:ind w:firstLine="0"/>
              <w:jc w:val="center"/>
              <w:rPr>
                <w:rFonts w:eastAsia="Calibri"/>
                <w:b/>
                <w:bCs/>
                <w:sz w:val="20"/>
                <w:szCs w:val="20"/>
                <w:lang w:eastAsia="en-US"/>
              </w:rPr>
            </w:pPr>
            <w:r>
              <w:rPr>
                <w:rFonts w:eastAsia="Calibri"/>
                <w:b/>
                <w:bCs/>
                <w:sz w:val="20"/>
                <w:szCs w:val="20"/>
                <w:lang w:eastAsia="en-US"/>
              </w:rPr>
              <w:t>49,68</w:t>
            </w:r>
          </w:p>
        </w:tc>
        <w:tc>
          <w:tcPr>
            <w:tcW w:w="494" w:type="pct"/>
            <w:tcBorders>
              <w:top w:val="nil"/>
              <w:left w:val="nil"/>
              <w:bottom w:val="single" w:sz="4" w:space="0" w:color="auto"/>
              <w:right w:val="single" w:sz="4" w:space="0" w:color="auto"/>
            </w:tcBorders>
            <w:shd w:val="clear" w:color="auto" w:fill="auto"/>
            <w:vAlign w:val="center"/>
          </w:tcPr>
          <w:p w14:paraId="318309D3" w14:textId="604E7D13" w:rsidR="00CB555C" w:rsidRPr="008A4171" w:rsidRDefault="00BB027B" w:rsidP="00CB555C">
            <w:pPr>
              <w:ind w:firstLine="0"/>
              <w:jc w:val="center"/>
              <w:rPr>
                <w:rFonts w:eastAsia="Calibri"/>
                <w:b/>
                <w:bCs/>
                <w:sz w:val="20"/>
                <w:szCs w:val="20"/>
                <w:lang w:eastAsia="en-US"/>
              </w:rPr>
            </w:pPr>
            <w:r>
              <w:rPr>
                <w:rFonts w:eastAsia="Calibri"/>
                <w:b/>
                <w:bCs/>
                <w:sz w:val="20"/>
                <w:szCs w:val="20"/>
                <w:lang w:eastAsia="en-US"/>
              </w:rPr>
              <w:t>27,55</w:t>
            </w:r>
          </w:p>
        </w:tc>
        <w:tc>
          <w:tcPr>
            <w:tcW w:w="451" w:type="pct"/>
            <w:tcBorders>
              <w:top w:val="nil"/>
              <w:left w:val="nil"/>
              <w:bottom w:val="single" w:sz="4" w:space="0" w:color="auto"/>
              <w:right w:val="single" w:sz="4" w:space="0" w:color="auto"/>
            </w:tcBorders>
            <w:shd w:val="clear" w:color="auto" w:fill="auto"/>
            <w:vAlign w:val="center"/>
          </w:tcPr>
          <w:p w14:paraId="0B1CBE78" w14:textId="523A1658" w:rsidR="00CB555C" w:rsidRPr="008A4171" w:rsidRDefault="00BB027B" w:rsidP="00CB555C">
            <w:pPr>
              <w:ind w:firstLine="0"/>
              <w:jc w:val="center"/>
              <w:rPr>
                <w:rFonts w:eastAsia="Calibri"/>
                <w:b/>
                <w:bCs/>
                <w:sz w:val="20"/>
                <w:szCs w:val="20"/>
                <w:lang w:eastAsia="en-US"/>
              </w:rPr>
            </w:pPr>
            <w:r>
              <w:rPr>
                <w:rFonts w:eastAsia="Calibri"/>
                <w:b/>
                <w:bCs/>
                <w:sz w:val="20"/>
                <w:szCs w:val="20"/>
                <w:lang w:eastAsia="en-US"/>
              </w:rPr>
              <w:t>8,6</w:t>
            </w:r>
          </w:p>
        </w:tc>
        <w:tc>
          <w:tcPr>
            <w:tcW w:w="489" w:type="pct"/>
            <w:tcBorders>
              <w:top w:val="nil"/>
              <w:left w:val="nil"/>
              <w:bottom w:val="single" w:sz="4" w:space="0" w:color="auto"/>
              <w:right w:val="single" w:sz="4" w:space="0" w:color="auto"/>
            </w:tcBorders>
            <w:shd w:val="clear" w:color="auto" w:fill="auto"/>
            <w:vAlign w:val="center"/>
          </w:tcPr>
          <w:p w14:paraId="68C3BAC3" w14:textId="1DA0C0B6" w:rsidR="00CB555C" w:rsidRPr="008A4171" w:rsidRDefault="00BB027B" w:rsidP="00CB555C">
            <w:pPr>
              <w:ind w:firstLine="0"/>
              <w:jc w:val="center"/>
              <w:rPr>
                <w:rFonts w:eastAsia="Calibri"/>
                <w:b/>
                <w:bCs/>
                <w:sz w:val="20"/>
                <w:szCs w:val="20"/>
                <w:lang w:eastAsia="en-US"/>
              </w:rPr>
            </w:pPr>
            <w:r>
              <w:rPr>
                <w:rFonts w:eastAsia="Calibri"/>
                <w:b/>
                <w:bCs/>
                <w:sz w:val="20"/>
                <w:szCs w:val="20"/>
                <w:lang w:eastAsia="en-US"/>
              </w:rPr>
              <w:t>7,88</w:t>
            </w:r>
          </w:p>
        </w:tc>
        <w:tc>
          <w:tcPr>
            <w:tcW w:w="561" w:type="pct"/>
            <w:tcBorders>
              <w:top w:val="nil"/>
              <w:left w:val="nil"/>
              <w:bottom w:val="single" w:sz="4" w:space="0" w:color="auto"/>
              <w:right w:val="single" w:sz="4" w:space="0" w:color="auto"/>
            </w:tcBorders>
            <w:shd w:val="clear" w:color="auto" w:fill="auto"/>
            <w:vAlign w:val="center"/>
          </w:tcPr>
          <w:p w14:paraId="37E0BB62" w14:textId="53DEF541" w:rsidR="00CB555C" w:rsidRPr="008A4171" w:rsidRDefault="00BB027B" w:rsidP="00CB555C">
            <w:pPr>
              <w:ind w:firstLine="0"/>
              <w:jc w:val="center"/>
              <w:rPr>
                <w:rFonts w:eastAsia="Calibri"/>
                <w:b/>
                <w:bCs/>
                <w:sz w:val="20"/>
                <w:szCs w:val="20"/>
                <w:lang w:eastAsia="en-US"/>
              </w:rPr>
            </w:pPr>
            <w:r>
              <w:rPr>
                <w:rFonts w:eastAsia="Calibri"/>
                <w:b/>
                <w:bCs/>
                <w:sz w:val="20"/>
                <w:szCs w:val="20"/>
                <w:lang w:eastAsia="en-US"/>
              </w:rPr>
              <w:t>231,37</w:t>
            </w:r>
          </w:p>
        </w:tc>
      </w:tr>
    </w:tbl>
    <w:p w14:paraId="5D4C7B0F" w14:textId="77777777" w:rsidR="00A73BBF" w:rsidRPr="00430AE9" w:rsidRDefault="00A73BBF" w:rsidP="00A73BBF">
      <w:pPr>
        <w:ind w:firstLine="0"/>
        <w:rPr>
          <w:sz w:val="22"/>
          <w:szCs w:val="22"/>
        </w:rPr>
      </w:pPr>
      <w:r>
        <w:rPr>
          <w:sz w:val="22"/>
          <w:szCs w:val="22"/>
        </w:rPr>
        <w:t>Примечание: * – включая объемы квот в районах действия международных договоров Российской Федерации в области рыболовства и сохранения водных биологических ресурсов (в рамках Российско-Японской Комиссии по рыболовству)</w:t>
      </w:r>
    </w:p>
    <w:p w14:paraId="3061B2B8" w14:textId="6C0A26A4" w:rsidR="00C9371A" w:rsidRPr="00CB7AFF" w:rsidRDefault="00C9371A" w:rsidP="00B906DF">
      <w:pPr>
        <w:pStyle w:val="2"/>
      </w:pPr>
      <w:r w:rsidRPr="00CB7AFF">
        <w:t>Оценка воздействия промысла на окружающую среду</w:t>
      </w:r>
    </w:p>
    <w:p w14:paraId="453DB827" w14:textId="3E4A7D1E" w:rsidR="00101995" w:rsidRDefault="00101995" w:rsidP="00101995">
      <w:pPr>
        <w:pStyle w:val="1111"/>
        <w:spacing w:line="240" w:lineRule="auto"/>
        <w:ind w:firstLineChars="253"/>
        <w:rPr>
          <w:sz w:val="28"/>
          <w:szCs w:val="28"/>
        </w:rPr>
      </w:pPr>
      <w:r>
        <w:rPr>
          <w:sz w:val="28"/>
          <w:szCs w:val="28"/>
        </w:rPr>
        <w:t>При</w:t>
      </w:r>
      <w:r w:rsidRPr="003001C3">
        <w:rPr>
          <w:sz w:val="28"/>
          <w:szCs w:val="28"/>
        </w:rPr>
        <w:t xml:space="preserve"> вылове </w:t>
      </w:r>
      <w:r>
        <w:rPr>
          <w:sz w:val="28"/>
          <w:szCs w:val="28"/>
        </w:rPr>
        <w:t xml:space="preserve">тихоокеанских лососей в объемах, не превышающих </w:t>
      </w:r>
      <w:r w:rsidRPr="003001C3">
        <w:rPr>
          <w:sz w:val="28"/>
          <w:szCs w:val="28"/>
        </w:rPr>
        <w:t xml:space="preserve">ОДУ, а также </w:t>
      </w:r>
      <w:r>
        <w:rPr>
          <w:sz w:val="28"/>
          <w:szCs w:val="28"/>
        </w:rPr>
        <w:t xml:space="preserve">при </w:t>
      </w:r>
      <w:r w:rsidRPr="003001C3">
        <w:rPr>
          <w:sz w:val="28"/>
          <w:szCs w:val="28"/>
        </w:rPr>
        <w:t>соблюдении Правил рыболовства, негативно</w:t>
      </w:r>
      <w:r w:rsidR="00914211">
        <w:rPr>
          <w:sz w:val="28"/>
          <w:szCs w:val="28"/>
        </w:rPr>
        <w:t>е</w:t>
      </w:r>
      <w:r w:rsidRPr="003001C3">
        <w:rPr>
          <w:sz w:val="28"/>
          <w:szCs w:val="28"/>
        </w:rPr>
        <w:t xml:space="preserve"> воздействи</w:t>
      </w:r>
      <w:r w:rsidR="00914211">
        <w:rPr>
          <w:sz w:val="28"/>
          <w:szCs w:val="28"/>
        </w:rPr>
        <w:t>е</w:t>
      </w:r>
      <w:r w:rsidRPr="003001C3">
        <w:rPr>
          <w:sz w:val="28"/>
          <w:szCs w:val="28"/>
        </w:rPr>
        <w:t xml:space="preserve"> на окружающую среду и водные биоресурсы</w:t>
      </w:r>
      <w:r w:rsidR="00914211">
        <w:rPr>
          <w:sz w:val="28"/>
          <w:szCs w:val="28"/>
        </w:rPr>
        <w:t xml:space="preserve"> не прогнозируется.</w:t>
      </w:r>
    </w:p>
    <w:p w14:paraId="02AFF924" w14:textId="33F591E7" w:rsidR="000E72C0" w:rsidRDefault="000E72C0" w:rsidP="00C9371A">
      <w:pPr>
        <w:rPr>
          <w:rFonts w:eastAsia="Calibri"/>
          <w:szCs w:val="22"/>
          <w:lang w:eastAsia="en-US"/>
        </w:rPr>
      </w:pPr>
    </w:p>
    <w:p w14:paraId="6EEB0AC2" w14:textId="05C4273E" w:rsidR="000E72C0" w:rsidRPr="000E72C0" w:rsidRDefault="000E72C0" w:rsidP="000E72C0">
      <w:pPr>
        <w:jc w:val="center"/>
        <w:rPr>
          <w:rFonts w:eastAsia="Calibri"/>
          <w:b/>
          <w:bCs/>
          <w:szCs w:val="22"/>
          <w:lang w:eastAsia="en-US"/>
        </w:rPr>
      </w:pPr>
      <w:r w:rsidRPr="000E72C0">
        <w:rPr>
          <w:rFonts w:eastAsia="Calibri"/>
          <w:b/>
          <w:bCs/>
          <w:szCs w:val="22"/>
          <w:lang w:val="en-US" w:eastAsia="en-US"/>
        </w:rPr>
        <w:t>C</w:t>
      </w:r>
      <w:r w:rsidRPr="000E72C0">
        <w:rPr>
          <w:rFonts w:eastAsia="Calibri"/>
          <w:b/>
          <w:bCs/>
          <w:szCs w:val="22"/>
          <w:lang w:eastAsia="en-US"/>
        </w:rPr>
        <w:t>писок литературы</w:t>
      </w:r>
    </w:p>
    <w:p w14:paraId="25890250" w14:textId="31414B43" w:rsidR="000E72C0" w:rsidRPr="000E72C0" w:rsidRDefault="000E72C0" w:rsidP="000E72C0">
      <w:r w:rsidRPr="000E72C0">
        <w:t xml:space="preserve">Гриценко О.Ф., </w:t>
      </w:r>
      <w:proofErr w:type="spellStart"/>
      <w:r w:rsidRPr="000E72C0">
        <w:t>Кловач</w:t>
      </w:r>
      <w:proofErr w:type="spellEnd"/>
      <w:r w:rsidRPr="000E72C0">
        <w:t xml:space="preserve"> Н.В., Рассадников О.А. 2004. Можно ли ловить тихоокеанских лососей в море без ущерба для их воспроизводства и берегового промысла? // Рыбное хозяйство. № 3. С. 26-28</w:t>
      </w:r>
      <w:r>
        <w:t>.</w:t>
      </w:r>
    </w:p>
    <w:p w14:paraId="142A83B8" w14:textId="77777777" w:rsidR="000E72C0" w:rsidRPr="000E72C0" w:rsidRDefault="000E72C0" w:rsidP="000E72C0">
      <w:r w:rsidRPr="000E72C0">
        <w:rPr>
          <w:shd w:val="clear" w:color="auto" w:fill="FFFFFF"/>
        </w:rPr>
        <w:t xml:space="preserve">Гриценко О.Ф., </w:t>
      </w:r>
      <w:proofErr w:type="spellStart"/>
      <w:r w:rsidRPr="000E72C0">
        <w:rPr>
          <w:shd w:val="clear" w:color="auto" w:fill="FFFFFF"/>
        </w:rPr>
        <w:t>Кловач</w:t>
      </w:r>
      <w:proofErr w:type="spellEnd"/>
      <w:r w:rsidRPr="000E72C0">
        <w:rPr>
          <w:shd w:val="clear" w:color="auto" w:fill="FFFFFF"/>
        </w:rPr>
        <w:t xml:space="preserve"> Н.В., Рассадников О.А. 2006. К оценке возможного изъятия тихоокеанских лососей в море. Труды ВНИРО. Т. 146. Методические аспекты исследований рыб морей Дальнего Востока. 344 с.</w:t>
      </w:r>
    </w:p>
    <w:p w14:paraId="7A24646C" w14:textId="4933C5A8" w:rsidR="000E72C0" w:rsidRPr="000E72C0" w:rsidRDefault="000E72C0" w:rsidP="000E72C0">
      <w:pPr>
        <w:rPr>
          <w:bCs/>
          <w:iCs/>
          <w:kern w:val="36"/>
          <w:bdr w:val="none" w:sz="0" w:space="0" w:color="auto" w:frame="1"/>
        </w:rPr>
      </w:pPr>
      <w:r w:rsidRPr="000E72C0">
        <w:rPr>
          <w:bCs/>
          <w:iCs/>
          <w:kern w:val="36"/>
          <w:bdr w:val="none" w:sz="0" w:space="0" w:color="auto" w:frame="1"/>
        </w:rPr>
        <w:lastRenderedPageBreak/>
        <w:t>Куклина А.С. 2017. Японский дрифтерный промысел на Дальнем Востоке и российско-японские отношения в сфере рыболовства //</w:t>
      </w:r>
      <w:r w:rsidR="00B748E2">
        <w:rPr>
          <w:bCs/>
          <w:iCs/>
          <w:kern w:val="36"/>
          <w:bdr w:val="none" w:sz="0" w:space="0" w:color="auto" w:frame="1"/>
        </w:rPr>
        <w:t xml:space="preserve"> </w:t>
      </w:r>
      <w:r w:rsidRPr="000E72C0">
        <w:rPr>
          <w:bCs/>
          <w:iCs/>
          <w:kern w:val="36"/>
          <w:bdr w:val="none" w:sz="0" w:space="0" w:color="auto" w:frame="1"/>
        </w:rPr>
        <w:t>Известия Иркутского Государственного Университета. Серия «История», Т.19. С. 101-113.</w:t>
      </w:r>
    </w:p>
    <w:p w14:paraId="612D7B58" w14:textId="285E430B" w:rsidR="000E72C0" w:rsidRPr="000E72C0" w:rsidRDefault="000E72C0" w:rsidP="000E72C0">
      <w:pPr>
        <w:rPr>
          <w:shd w:val="clear" w:color="auto" w:fill="FBFBFB"/>
        </w:rPr>
      </w:pPr>
      <w:r w:rsidRPr="000E72C0">
        <w:rPr>
          <w:bCs/>
          <w:shd w:val="clear" w:color="auto" w:fill="FFFFFF"/>
        </w:rPr>
        <w:t>Кутаков</w:t>
      </w:r>
      <w:r w:rsidRPr="000E72C0">
        <w:rPr>
          <w:shd w:val="clear" w:color="auto" w:fill="FFFFFF"/>
        </w:rPr>
        <w:t xml:space="preserve"> Л.М. </w:t>
      </w:r>
      <w:r w:rsidR="00B748E2">
        <w:rPr>
          <w:shd w:val="clear" w:color="auto" w:fill="FFFFFF"/>
        </w:rPr>
        <w:t xml:space="preserve">1988. </w:t>
      </w:r>
      <w:hyperlink r:id="rId10" w:history="1">
        <w:r w:rsidRPr="000E72C0">
          <w:t xml:space="preserve">Российский дипломатический представитель в Хакодате АЭ </w:t>
        </w:r>
        <w:proofErr w:type="spellStart"/>
        <w:r w:rsidRPr="000E72C0">
          <w:t>Оларовский</w:t>
        </w:r>
        <w:proofErr w:type="spellEnd"/>
        <w:r w:rsidRPr="000E72C0">
          <w:t xml:space="preserve"> (1870-1874 гг.)</w:t>
        </w:r>
      </w:hyperlink>
      <w:r w:rsidRPr="000E72C0">
        <w:t>.</w:t>
      </w:r>
      <w:r w:rsidRPr="000E72C0">
        <w:rPr>
          <w:bCs/>
          <w:shd w:val="clear" w:color="auto" w:fill="FFFFFF"/>
        </w:rPr>
        <w:t xml:space="preserve"> </w:t>
      </w:r>
      <w:r w:rsidRPr="000E72C0">
        <w:rPr>
          <w:shd w:val="clear" w:color="auto" w:fill="FFFFFF"/>
        </w:rPr>
        <w:t>Россия и Япония. М. С. 173.</w:t>
      </w:r>
    </w:p>
    <w:p w14:paraId="28E1BF67" w14:textId="77777777" w:rsidR="000E72C0" w:rsidRPr="000E72C0" w:rsidRDefault="000E72C0" w:rsidP="000E72C0">
      <w:r w:rsidRPr="000E72C0">
        <w:rPr>
          <w:iCs/>
          <w:lang w:val="en-US"/>
        </w:rPr>
        <w:t>J</w:t>
      </w:r>
      <w:proofErr w:type="spellStart"/>
      <w:r w:rsidRPr="000E72C0">
        <w:rPr>
          <w:iCs/>
        </w:rPr>
        <w:t>ohnston</w:t>
      </w:r>
      <w:proofErr w:type="spellEnd"/>
      <w:r w:rsidRPr="000E72C0">
        <w:rPr>
          <w:iCs/>
        </w:rPr>
        <w:t xml:space="preserve"> </w:t>
      </w:r>
      <w:r w:rsidRPr="000E72C0">
        <w:rPr>
          <w:iCs/>
          <w:lang w:val="en-US"/>
        </w:rPr>
        <w:t>D</w:t>
      </w:r>
      <w:r w:rsidRPr="000E72C0">
        <w:rPr>
          <w:iCs/>
        </w:rPr>
        <w:t>.</w:t>
      </w:r>
      <w:r w:rsidRPr="000E72C0">
        <w:rPr>
          <w:iCs/>
          <w:lang w:val="en-US"/>
        </w:rPr>
        <w:t>M</w:t>
      </w:r>
      <w:r w:rsidRPr="000E72C0">
        <w:rPr>
          <w:iCs/>
        </w:rPr>
        <w:t xml:space="preserve">., </w:t>
      </w:r>
      <w:proofErr w:type="spellStart"/>
      <w:r w:rsidRPr="000E72C0">
        <w:rPr>
          <w:iCs/>
        </w:rPr>
        <w:t>Valencia</w:t>
      </w:r>
      <w:proofErr w:type="spellEnd"/>
      <w:r w:rsidRPr="000E72C0">
        <w:rPr>
          <w:iCs/>
        </w:rPr>
        <w:t xml:space="preserve"> </w:t>
      </w:r>
      <w:r w:rsidRPr="000E72C0">
        <w:rPr>
          <w:iCs/>
          <w:lang w:val="en-US"/>
        </w:rPr>
        <w:t>M</w:t>
      </w:r>
      <w:r w:rsidRPr="000E72C0">
        <w:rPr>
          <w:iCs/>
        </w:rPr>
        <w:t>.</w:t>
      </w:r>
      <w:r w:rsidRPr="000E72C0">
        <w:rPr>
          <w:iCs/>
          <w:lang w:val="en-US"/>
        </w:rPr>
        <w:t>D</w:t>
      </w:r>
      <w:r w:rsidRPr="000E72C0">
        <w:rPr>
          <w:iCs/>
        </w:rPr>
        <w:t xml:space="preserve">., 1995 </w:t>
      </w:r>
      <w:hyperlink r:id="rId11" w:history="1">
        <w:r w:rsidRPr="000E72C0">
          <w:rPr>
            <w:iCs/>
          </w:rPr>
          <w:t>Пограничные проблемы Тихого океана: состояние и решения</w:t>
        </w:r>
      </w:hyperlink>
      <w:r w:rsidRPr="000E72C0">
        <w:rPr>
          <w:iCs/>
        </w:rPr>
        <w:t xml:space="preserve">. </w:t>
      </w:r>
      <w:proofErr w:type="spellStart"/>
      <w:r w:rsidRPr="000E72C0">
        <w:rPr>
          <w:iCs/>
        </w:rPr>
        <w:t>Dordrecht</w:t>
      </w:r>
      <w:proofErr w:type="spellEnd"/>
      <w:r w:rsidRPr="000E72C0">
        <w:rPr>
          <w:iCs/>
        </w:rPr>
        <w:t xml:space="preserve">: </w:t>
      </w:r>
      <w:proofErr w:type="spellStart"/>
      <w:r w:rsidRPr="000E72C0">
        <w:rPr>
          <w:iCs/>
        </w:rPr>
        <w:t>Martinus</w:t>
      </w:r>
      <w:proofErr w:type="spellEnd"/>
      <w:r w:rsidRPr="000E72C0">
        <w:rPr>
          <w:iCs/>
        </w:rPr>
        <w:t xml:space="preserve"> </w:t>
      </w:r>
      <w:proofErr w:type="spellStart"/>
      <w:r w:rsidRPr="000E72C0">
        <w:rPr>
          <w:iCs/>
        </w:rPr>
        <w:t>Nijhoff</w:t>
      </w:r>
      <w:proofErr w:type="spellEnd"/>
      <w:r w:rsidRPr="000E72C0">
        <w:rPr>
          <w:iCs/>
        </w:rPr>
        <w:t xml:space="preserve"> </w:t>
      </w:r>
      <w:proofErr w:type="spellStart"/>
      <w:r w:rsidRPr="000E72C0">
        <w:rPr>
          <w:iCs/>
        </w:rPr>
        <w:t>Publishers</w:t>
      </w:r>
      <w:proofErr w:type="spellEnd"/>
      <w:r w:rsidRPr="000E72C0">
        <w:rPr>
          <w:iCs/>
        </w:rPr>
        <w:t>. </w:t>
      </w:r>
      <w:hyperlink r:id="rId12" w:tooltip="ISBN (идентификатор)" w:history="1">
        <w:r w:rsidRPr="000E72C0">
          <w:rPr>
            <w:iCs/>
          </w:rPr>
          <w:t>ISBN</w:t>
        </w:r>
      </w:hyperlink>
      <w:r w:rsidRPr="000E72C0">
        <w:rPr>
          <w:iCs/>
        </w:rPr>
        <w:t> </w:t>
      </w:r>
      <w:hyperlink r:id="rId13" w:tooltip="Special:BookSources/0-7923-0862-X" w:history="1">
        <w:r w:rsidRPr="000E72C0">
          <w:rPr>
            <w:iCs/>
          </w:rPr>
          <w:t>0-7923-0862-X</w:t>
        </w:r>
      </w:hyperlink>
      <w:r w:rsidRPr="000E72C0">
        <w:rPr>
          <w:iCs/>
        </w:rPr>
        <w:t>.</w:t>
      </w:r>
    </w:p>
    <w:p w14:paraId="51222241" w14:textId="77777777" w:rsidR="000E72C0" w:rsidRPr="000E72C0" w:rsidRDefault="000E72C0" w:rsidP="000E72C0">
      <w:pPr>
        <w:rPr>
          <w:rFonts w:eastAsia="Calibri"/>
          <w:lang w:eastAsia="en-US"/>
        </w:rPr>
      </w:pPr>
    </w:p>
    <w:sectPr w:rsidR="000E72C0" w:rsidRPr="000E72C0">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EBEE" w14:textId="77777777" w:rsidR="00A15B16" w:rsidRDefault="00A15B16" w:rsidP="00101995">
      <w:r>
        <w:separator/>
      </w:r>
    </w:p>
  </w:endnote>
  <w:endnote w:type="continuationSeparator" w:id="0">
    <w:p w14:paraId="7B49F3CE" w14:textId="77777777" w:rsidR="00A15B16" w:rsidRDefault="00A15B16" w:rsidP="0010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ranklin Gothic Heavy">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929460"/>
      <w:docPartObj>
        <w:docPartGallery w:val="Page Numbers (Bottom of Page)"/>
        <w:docPartUnique/>
      </w:docPartObj>
    </w:sdtPr>
    <w:sdtContent>
      <w:p w14:paraId="3FD47C33" w14:textId="7DFE05AE" w:rsidR="00101995" w:rsidRDefault="00101995">
        <w:pPr>
          <w:pStyle w:val="af2"/>
          <w:jc w:val="right"/>
        </w:pPr>
        <w:r>
          <w:fldChar w:fldCharType="begin"/>
        </w:r>
        <w:r>
          <w:instrText>PAGE   \* MERGEFORMAT</w:instrText>
        </w:r>
        <w:r>
          <w:fldChar w:fldCharType="separate"/>
        </w:r>
        <w:r>
          <w:t>2</w:t>
        </w:r>
        <w:r>
          <w:fldChar w:fldCharType="end"/>
        </w:r>
      </w:p>
    </w:sdtContent>
  </w:sdt>
  <w:p w14:paraId="6FF4A49D" w14:textId="77777777" w:rsidR="00101995" w:rsidRDefault="0010199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E734" w14:textId="77777777" w:rsidR="00A15B16" w:rsidRDefault="00A15B16" w:rsidP="00101995">
      <w:r>
        <w:separator/>
      </w:r>
    </w:p>
  </w:footnote>
  <w:footnote w:type="continuationSeparator" w:id="0">
    <w:p w14:paraId="56E8830C" w14:textId="77777777" w:rsidR="00A15B16" w:rsidRDefault="00A15B16" w:rsidP="00101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71A"/>
    <w:rsid w:val="0000593D"/>
    <w:rsid w:val="00012322"/>
    <w:rsid w:val="000307FD"/>
    <w:rsid w:val="000B52F8"/>
    <w:rsid w:val="000C3F4F"/>
    <w:rsid w:val="000D48F3"/>
    <w:rsid w:val="000E72C0"/>
    <w:rsid w:val="001015B6"/>
    <w:rsid w:val="00101995"/>
    <w:rsid w:val="001657C7"/>
    <w:rsid w:val="00260EAF"/>
    <w:rsid w:val="00287E90"/>
    <w:rsid w:val="003D4BC1"/>
    <w:rsid w:val="004D1F50"/>
    <w:rsid w:val="00572209"/>
    <w:rsid w:val="005A6B5B"/>
    <w:rsid w:val="006018FF"/>
    <w:rsid w:val="00676837"/>
    <w:rsid w:val="007553E0"/>
    <w:rsid w:val="008706ED"/>
    <w:rsid w:val="008A4171"/>
    <w:rsid w:val="00914211"/>
    <w:rsid w:val="009243B6"/>
    <w:rsid w:val="00A033EA"/>
    <w:rsid w:val="00A15B16"/>
    <w:rsid w:val="00A25FD3"/>
    <w:rsid w:val="00A5341F"/>
    <w:rsid w:val="00A73BBF"/>
    <w:rsid w:val="00A81459"/>
    <w:rsid w:val="00A82EDD"/>
    <w:rsid w:val="00AB20C6"/>
    <w:rsid w:val="00AE15FD"/>
    <w:rsid w:val="00B748E2"/>
    <w:rsid w:val="00B906DF"/>
    <w:rsid w:val="00B94244"/>
    <w:rsid w:val="00BA136C"/>
    <w:rsid w:val="00BB027B"/>
    <w:rsid w:val="00BC38A7"/>
    <w:rsid w:val="00BE2AFC"/>
    <w:rsid w:val="00C01CBA"/>
    <w:rsid w:val="00C337C2"/>
    <w:rsid w:val="00C9371A"/>
    <w:rsid w:val="00C94D9C"/>
    <w:rsid w:val="00CB555C"/>
    <w:rsid w:val="00DC3392"/>
    <w:rsid w:val="00E15A15"/>
    <w:rsid w:val="00FD3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DD8B"/>
  <w15:docId w15:val="{87A9A22F-C835-4005-B0A9-83A75C7D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71A"/>
    <w:pPr>
      <w:spacing w:after="0" w:line="240" w:lineRule="auto"/>
      <w:ind w:firstLine="709"/>
      <w:jc w:val="both"/>
    </w:pPr>
    <w:rPr>
      <w:rFonts w:ascii="Times New Roman" w:eastAsia="Times New Roman" w:hAnsi="Times New Roman" w:cs="Times New Roman"/>
      <w:sz w:val="28"/>
      <w:szCs w:val="24"/>
      <w:lang w:eastAsia="ru-RU"/>
    </w:rPr>
  </w:style>
  <w:style w:type="paragraph" w:styleId="6">
    <w:name w:val="heading 6"/>
    <w:aliases w:val="Зона"/>
    <w:basedOn w:val="a"/>
    <w:next w:val="a"/>
    <w:link w:val="60"/>
    <w:qFormat/>
    <w:rsid w:val="00C9371A"/>
    <w:pPr>
      <w:keepNext/>
      <w:spacing w:before="100" w:beforeAutospacing="1" w:after="100" w:afterAutospacing="1"/>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aliases w:val="Зона Знак"/>
    <w:basedOn w:val="a0"/>
    <w:link w:val="6"/>
    <w:rsid w:val="00C9371A"/>
    <w:rPr>
      <w:rFonts w:ascii="Times New Roman" w:eastAsia="Times New Roman" w:hAnsi="Times New Roman" w:cs="Times New Roman"/>
      <w:b/>
      <w:sz w:val="28"/>
      <w:szCs w:val="20"/>
      <w:lang w:eastAsia="ru-RU"/>
    </w:rPr>
  </w:style>
  <w:style w:type="paragraph" w:styleId="a3">
    <w:name w:val="Title"/>
    <w:aliases w:val="ВИД,Название Знак1,Название Знак1 Знак,Название Знак Знак Знак Знак,Название Знак Знак1,Название Знак1 Знак2,Название Знак1 Знак Знак1,Название Знак Знак Знак,Вид"/>
    <w:basedOn w:val="6"/>
    <w:link w:val="a4"/>
    <w:qFormat/>
    <w:rsid w:val="00C9371A"/>
    <w:pPr>
      <w:ind w:firstLine="0"/>
      <w:jc w:val="center"/>
    </w:pPr>
  </w:style>
  <w:style w:type="character" w:customStyle="1" w:styleId="a4">
    <w:name w:val="Заголовок Знак"/>
    <w:aliases w:val="ВИД Знак,Название Знак1 Знак1,Название Знак1 Знак Знак,Название Знак Знак Знак Знак Знак,Название Знак Знак1 Знак,Название Знак1 Знак2 Знак,Название Знак1 Знак Знак1 Знак,Название Знак Знак Знак Знак1,Вид Знак"/>
    <w:basedOn w:val="a0"/>
    <w:link w:val="a3"/>
    <w:rsid w:val="00C9371A"/>
    <w:rPr>
      <w:rFonts w:ascii="Times New Roman" w:eastAsia="Times New Roman" w:hAnsi="Times New Roman" w:cs="Times New Roman"/>
      <w:b/>
      <w:sz w:val="28"/>
      <w:szCs w:val="20"/>
      <w:lang w:eastAsia="ru-RU"/>
    </w:rPr>
  </w:style>
  <w:style w:type="paragraph" w:styleId="a5">
    <w:name w:val="caption"/>
    <w:aliases w:val="Исполнители,Название объекта;Исполнители"/>
    <w:basedOn w:val="a"/>
    <w:next w:val="a"/>
    <w:link w:val="a6"/>
    <w:qFormat/>
    <w:rsid w:val="00C9371A"/>
    <w:pPr>
      <w:spacing w:before="100" w:beforeAutospacing="1" w:after="100" w:afterAutospacing="1"/>
    </w:pPr>
    <w:rPr>
      <w:szCs w:val="20"/>
    </w:rPr>
  </w:style>
  <w:style w:type="paragraph" w:customStyle="1" w:styleId="a7">
    <w:name w:val="рисуночек"/>
    <w:basedOn w:val="a"/>
    <w:link w:val="a8"/>
    <w:qFormat/>
    <w:rsid w:val="00C9371A"/>
    <w:pPr>
      <w:spacing w:before="100" w:beforeAutospacing="1" w:after="100" w:afterAutospacing="1"/>
      <w:ind w:firstLine="0"/>
      <w:jc w:val="center"/>
    </w:pPr>
    <w:rPr>
      <w:noProof/>
      <w:sz w:val="24"/>
    </w:rPr>
  </w:style>
  <w:style w:type="character" w:customStyle="1" w:styleId="a8">
    <w:name w:val="рисуночек Знак"/>
    <w:link w:val="a7"/>
    <w:rsid w:val="00C9371A"/>
    <w:rPr>
      <w:rFonts w:ascii="Times New Roman" w:eastAsia="Times New Roman" w:hAnsi="Times New Roman" w:cs="Times New Roman"/>
      <w:noProof/>
      <w:sz w:val="24"/>
      <w:szCs w:val="24"/>
      <w:lang w:eastAsia="ru-RU"/>
    </w:rPr>
  </w:style>
  <w:style w:type="paragraph" w:customStyle="1" w:styleId="a9">
    <w:name w:val="Номер таблицы"/>
    <w:basedOn w:val="a"/>
    <w:link w:val="aa"/>
    <w:qFormat/>
    <w:rsid w:val="00C9371A"/>
    <w:pPr>
      <w:spacing w:before="100" w:beforeAutospacing="1"/>
      <w:jc w:val="right"/>
    </w:pPr>
    <w:rPr>
      <w:sz w:val="24"/>
    </w:rPr>
  </w:style>
  <w:style w:type="paragraph" w:customStyle="1" w:styleId="ab">
    <w:name w:val="НазвТаблицы"/>
    <w:basedOn w:val="a"/>
    <w:link w:val="ac"/>
    <w:qFormat/>
    <w:rsid w:val="00C9371A"/>
    <w:pPr>
      <w:tabs>
        <w:tab w:val="left" w:pos="-284"/>
      </w:tabs>
      <w:spacing w:after="100" w:afterAutospacing="1"/>
      <w:ind w:firstLine="0"/>
      <w:jc w:val="center"/>
    </w:pPr>
    <w:rPr>
      <w:b/>
      <w:bCs/>
      <w:sz w:val="24"/>
    </w:rPr>
  </w:style>
  <w:style w:type="character" w:customStyle="1" w:styleId="aa">
    <w:name w:val="Номер таблицы Знак"/>
    <w:link w:val="a9"/>
    <w:rsid w:val="00C9371A"/>
    <w:rPr>
      <w:rFonts w:ascii="Times New Roman" w:eastAsia="Times New Roman" w:hAnsi="Times New Roman" w:cs="Times New Roman"/>
      <w:sz w:val="24"/>
      <w:szCs w:val="24"/>
      <w:lang w:eastAsia="ru-RU"/>
    </w:rPr>
  </w:style>
  <w:style w:type="character" w:customStyle="1" w:styleId="ac">
    <w:name w:val="НазвТаблицы Знак"/>
    <w:link w:val="ab"/>
    <w:rsid w:val="00C9371A"/>
    <w:rPr>
      <w:rFonts w:ascii="Times New Roman" w:eastAsia="Times New Roman" w:hAnsi="Times New Roman" w:cs="Times New Roman"/>
      <w:b/>
      <w:bCs/>
      <w:sz w:val="24"/>
      <w:szCs w:val="24"/>
      <w:lang w:eastAsia="ru-RU"/>
    </w:rPr>
  </w:style>
  <w:style w:type="paragraph" w:customStyle="1" w:styleId="2">
    <w:name w:val="Стиль2"/>
    <w:basedOn w:val="a"/>
    <w:link w:val="20"/>
    <w:qFormat/>
    <w:rsid w:val="00C9371A"/>
    <w:pPr>
      <w:spacing w:before="100" w:beforeAutospacing="1"/>
    </w:pPr>
    <w:rPr>
      <w:b/>
      <w:i/>
      <w:szCs w:val="28"/>
    </w:rPr>
  </w:style>
  <w:style w:type="character" w:customStyle="1" w:styleId="20">
    <w:name w:val="Стиль2 Знак"/>
    <w:link w:val="2"/>
    <w:rsid w:val="00C9371A"/>
    <w:rPr>
      <w:rFonts w:ascii="Times New Roman" w:eastAsia="Times New Roman" w:hAnsi="Times New Roman" w:cs="Times New Roman"/>
      <w:b/>
      <w:i/>
      <w:sz w:val="28"/>
      <w:szCs w:val="28"/>
      <w:lang w:eastAsia="ru-RU"/>
    </w:rPr>
  </w:style>
  <w:style w:type="character" w:customStyle="1" w:styleId="a6">
    <w:name w:val="Название объекта Знак"/>
    <w:aliases w:val="Исполнители Знак,Название объекта;Исполнители Знак"/>
    <w:link w:val="a5"/>
    <w:locked/>
    <w:rsid w:val="00C9371A"/>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C9371A"/>
    <w:rPr>
      <w:rFonts w:ascii="Tahoma" w:hAnsi="Tahoma" w:cs="Tahoma"/>
      <w:sz w:val="16"/>
      <w:szCs w:val="16"/>
    </w:rPr>
  </w:style>
  <w:style w:type="character" w:customStyle="1" w:styleId="ae">
    <w:name w:val="Текст выноски Знак"/>
    <w:basedOn w:val="a0"/>
    <w:link w:val="ad"/>
    <w:uiPriority w:val="99"/>
    <w:semiHidden/>
    <w:rsid w:val="00C9371A"/>
    <w:rPr>
      <w:rFonts w:ascii="Tahoma" w:eastAsia="Times New Roman" w:hAnsi="Tahoma" w:cs="Tahoma"/>
      <w:sz w:val="16"/>
      <w:szCs w:val="16"/>
      <w:lang w:eastAsia="ru-RU"/>
    </w:rPr>
  </w:style>
  <w:style w:type="character" w:styleId="af">
    <w:name w:val="Hyperlink"/>
    <w:basedOn w:val="a0"/>
    <w:uiPriority w:val="99"/>
    <w:unhideWhenUsed/>
    <w:rsid w:val="000E72C0"/>
    <w:rPr>
      <w:color w:val="0000FF" w:themeColor="hyperlink"/>
      <w:u w:val="single"/>
    </w:rPr>
  </w:style>
  <w:style w:type="paragraph" w:styleId="af0">
    <w:name w:val="header"/>
    <w:basedOn w:val="a"/>
    <w:link w:val="af1"/>
    <w:uiPriority w:val="99"/>
    <w:unhideWhenUsed/>
    <w:rsid w:val="00101995"/>
    <w:pPr>
      <w:tabs>
        <w:tab w:val="center" w:pos="4677"/>
        <w:tab w:val="right" w:pos="9355"/>
      </w:tabs>
    </w:pPr>
  </w:style>
  <w:style w:type="character" w:customStyle="1" w:styleId="af1">
    <w:name w:val="Верхний колонтитул Знак"/>
    <w:basedOn w:val="a0"/>
    <w:link w:val="af0"/>
    <w:uiPriority w:val="99"/>
    <w:rsid w:val="00101995"/>
    <w:rPr>
      <w:rFonts w:ascii="Times New Roman" w:eastAsia="Times New Roman" w:hAnsi="Times New Roman" w:cs="Times New Roman"/>
      <w:sz w:val="28"/>
      <w:szCs w:val="24"/>
      <w:lang w:eastAsia="ru-RU"/>
    </w:rPr>
  </w:style>
  <w:style w:type="paragraph" w:styleId="af2">
    <w:name w:val="footer"/>
    <w:basedOn w:val="a"/>
    <w:link w:val="af3"/>
    <w:uiPriority w:val="99"/>
    <w:unhideWhenUsed/>
    <w:rsid w:val="00101995"/>
    <w:pPr>
      <w:tabs>
        <w:tab w:val="center" w:pos="4677"/>
        <w:tab w:val="right" w:pos="9355"/>
      </w:tabs>
    </w:pPr>
  </w:style>
  <w:style w:type="character" w:customStyle="1" w:styleId="af3">
    <w:name w:val="Нижний колонтитул Знак"/>
    <w:basedOn w:val="a0"/>
    <w:link w:val="af2"/>
    <w:uiPriority w:val="99"/>
    <w:rsid w:val="00101995"/>
    <w:rPr>
      <w:rFonts w:ascii="Times New Roman" w:eastAsia="Times New Roman" w:hAnsi="Times New Roman" w:cs="Times New Roman"/>
      <w:sz w:val="28"/>
      <w:szCs w:val="24"/>
      <w:lang w:eastAsia="ru-RU"/>
    </w:rPr>
  </w:style>
  <w:style w:type="paragraph" w:customStyle="1" w:styleId="1111">
    <w:name w:val="!!!!_1111"/>
    <w:basedOn w:val="a"/>
    <w:link w:val="11110"/>
    <w:qFormat/>
    <w:rsid w:val="00101995"/>
    <w:pPr>
      <w:widowControl w:val="0"/>
      <w:autoSpaceDE w:val="0"/>
      <w:autoSpaceDN w:val="0"/>
      <w:adjustRightInd w:val="0"/>
      <w:spacing w:line="360" w:lineRule="auto"/>
      <w:ind w:firstLineChars="294" w:firstLine="708"/>
    </w:pPr>
    <w:rPr>
      <w:sz w:val="24"/>
    </w:rPr>
  </w:style>
  <w:style w:type="character" w:customStyle="1" w:styleId="11110">
    <w:name w:val="!!!!_1111 Знак"/>
    <w:link w:val="1111"/>
    <w:rsid w:val="001019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en.wikipedia.org/wiki/Special:BookSources/0-7923-0862-X"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en.wikipedia.org/wiki/ISBN_(identifi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ooks.google.com/books?id=zOoADxl4YToC&amp;pg=PA4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yberleninka.ru/article/n/rossiyskiy-diplomaticheskiy-predstavitel-v-hakodate-a-e-olarovskiy-1870-1874-g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79CF-6F21-47E0-92A8-A54DA135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9</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VNIRO</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Винникова</dc:creator>
  <cp:lastModifiedBy>user</cp:lastModifiedBy>
  <cp:revision>30</cp:revision>
  <cp:lastPrinted>2022-11-29T11:33:00Z</cp:lastPrinted>
  <dcterms:created xsi:type="dcterms:W3CDTF">2022-03-04T08:22:00Z</dcterms:created>
  <dcterms:modified xsi:type="dcterms:W3CDTF">2022-11-29T12:02:00Z</dcterms:modified>
</cp:coreProperties>
</file>